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bookmarkStart w:id="18" w:name="_GoBack"/>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673225" cy="2054225"/>
                <wp:effectExtent l="0" t="0" r="3175" b="3175"/>
                <wp:docPr id="5"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诚创LOGO2"/>
                        <pic:cNvPicPr>
                          <a:picLocks noChangeAspect="1"/>
                        </pic:cNvPicPr>
                        <pic:nvPr/>
                      </pic:nvPicPr>
                      <pic:blipFill>
                        <a:blip r:embed="rId17"/>
                        <a:stretch/>
                      </pic:blipFill>
                      <pic:spPr bwMode="auto">
                        <a:xfrm>
                          <a:off x="0" y="0"/>
                          <a:ext cx="1673225" cy="20542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1.8pt;height:161.8pt;mso-wrap-distance-left:0.0pt;mso-wrap-distance-top:0.0pt;mso-wrap-distance-right:0.0pt;mso-wrap-distance-bottom:0.0pt;" stroked="f">
                <v:path textboxrect="0,0,0,0"/>
                <v:imagedata r:id="rId17"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徐州市铜山区棠张镇卫生院口腔CT</w:t>
      </w:r>
      <w:r/>
    </w:p>
    <w:p>
      <w:pPr>
        <w:ind w:left="2440" w:hanging="1600"/>
        <w:spacing w:line="480" w:lineRule="auto"/>
        <w:rPr>
          <w:rFonts w:hint="eastAsia" w:ascii="宋体" w:hAnsi="宋体" w:cs="宋体"/>
          <w:color w:val="auto"/>
          <w:sz w:val="32"/>
          <w:highlight w:val="yellow"/>
          <w:lang w:eastAsia="zh-CN"/>
        </w:rPr>
      </w:pPr>
      <w:r>
        <w:rPr>
          <w:rFonts w:hint="eastAsia" w:ascii="宋体" w:hAnsi="宋体" w:cs="宋体"/>
          <w:color w:val="auto"/>
          <w:sz w:val="32"/>
        </w:rPr>
        <w:t xml:space="preserve">项目编</w:t>
      </w:r>
      <w:r>
        <w:rPr>
          <w:rFonts w:hint="eastAsia" w:ascii="宋体" w:hAnsi="宋体" w:cs="宋体"/>
          <w:color w:val="auto"/>
          <w:sz w:val="32"/>
          <w:lang w:eastAsia="zh-CN"/>
        </w:rPr>
        <w:t xml:space="preserve">号：JSZC-320312-CCZB-G2025-0004</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徐州市铜山区卫生健康委员会</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auto"/>
          <w:sz w:val="32"/>
        </w:rPr>
      </w:pPr>
      <w:r>
        <w:rPr>
          <w:rFonts w:hint="eastAsia" w:ascii="宋体" w:hAnsi="宋体" w:cs="宋体"/>
          <w:color w:val="auto"/>
          <w:sz w:val="32"/>
        </w:rPr>
        <w:t xml:space="preserve">二O二</w:t>
      </w:r>
      <w:r>
        <w:rPr>
          <w:rFonts w:hint="eastAsia" w:ascii="宋体" w:hAnsi="宋体" w:cs="宋体"/>
          <w:color w:val="auto"/>
          <w:sz w:val="32"/>
          <w:lang w:val="en-US" w:eastAsia="zh-CN"/>
        </w:rPr>
        <w:t xml:space="preserve">五</w:t>
      </w:r>
      <w:r>
        <w:rPr>
          <w:rFonts w:hint="eastAsia" w:ascii="宋体" w:hAnsi="宋体" w:cs="宋体"/>
          <w:color w:val="auto"/>
          <w:sz w:val="32"/>
        </w:rPr>
        <w:t xml:space="preserve">年</w:t>
      </w:r>
      <w:r>
        <w:rPr>
          <w:rFonts w:hint="eastAsia" w:ascii="宋体" w:hAnsi="宋体" w:cs="宋体"/>
          <w:color w:val="auto"/>
          <w:sz w:val="32"/>
          <w:lang w:val="en-US" w:eastAsia="zh-CN"/>
        </w:rPr>
        <w:t xml:space="preserve">十</w:t>
      </w:r>
      <w:r>
        <w:rPr>
          <w:rFonts w:hint="eastAsia" w:ascii="宋体" w:hAnsi="宋体" w:cs="宋体"/>
          <w:color w:val="auto"/>
          <w:sz w:val="32"/>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43"/>
        <w:rPr>
          <w:color w:val="auto"/>
        </w:rPr>
      </w:pPr>
      <w:r>
        <w:rPr>
          <w:color w:val="auto"/>
        </w:rPr>
      </w:r>
      <w:r/>
    </w:p>
    <w:p>
      <w:pPr>
        <w:pStyle w:val="819"/>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33"/>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徐州市铜山区卫生健康委员会</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徐州市铜山区棠张镇卫生院口腔CT</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07"/>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徐州市铜山区卫生健康委员会</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徐州市铜山区棠张镇卫生院口腔CT</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徐州市铜山区棠张镇卫生院口腔CT</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JSZC-320312-CCZB-G2025-0004</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//jszfcg.jsczt.cn/；或进入徐州政府采购网（网址：http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//czj.xz.gov.cn/Home/HomeIndex）--业务工作--用户登录，点击“苏采云”进入系统。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四、投标有关信息</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1.投标截止时间：</w:t>
      </w:r>
      <w:r>
        <w:rPr>
          <w:rFonts w:hint="eastAsia" w:ascii="宋体" w:hAnsi="宋体" w:cs="宋体"/>
          <w:color w:val="auto"/>
          <w:sz w:val="28"/>
          <w:szCs w:val="28"/>
          <w:lang w:eastAsia="zh-CN"/>
        </w:rPr>
        <w:t xml:space="preserve">2025年11月4日北京时间10:00</w:t>
      </w:r>
      <w:r>
        <w:rPr>
          <w:rFonts w:hint="eastAsia" w:ascii="宋体" w:hAnsi="宋体" w:cs="宋体"/>
          <w:color w:val="auto"/>
          <w:sz w:val="28"/>
          <w:szCs w:val="28"/>
        </w:rPr>
        <w:t xml:space="preserve">。</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2.开标时间：</w:t>
      </w:r>
      <w:r>
        <w:rPr>
          <w:rFonts w:hint="eastAsia" w:ascii="宋体" w:hAnsi="宋体" w:cs="宋体"/>
          <w:color w:val="auto"/>
          <w:sz w:val="28"/>
          <w:szCs w:val="28"/>
          <w:lang w:eastAsia="zh-CN"/>
        </w:rPr>
        <w:t xml:space="preserve">2025年11月4日北京时间10:00</w:t>
      </w:r>
      <w:r>
        <w:rPr>
          <w:rFonts w:hint="eastAsia" w:ascii="宋体" w:hAnsi="宋体" w:cs="宋体"/>
          <w:color w:val="auto"/>
          <w:sz w:val="28"/>
          <w:szCs w:val="28"/>
        </w:rPr>
        <w:t xml:space="preserve">。</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3.开标地点：“苏采云”系统（网址： 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//jszfcg.jsczt.cn/）“开标大厅”或进入徐州政府采购网（网址：http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//czj.xz.gov.cn/Home/HomeIndex）-业务工作-用户登录，点击“苏采云”进入系统“开标大厅”。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徐州市铜山区卫生健康委员会</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徐州市铜山区凤山路1号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0516-80278887</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陈传娇</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0516-80278887</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3.联系方法：0516-82306076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4.采购项目联系人：曹欣；联系电话：0516-82306076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07"/>
        <w:rPr>
          <w:rFonts w:ascii="宋体" w:hAnsi="宋体" w:eastAsia="宋体" w:cs="宋体"/>
          <w:color w:val="auto"/>
        </w:rPr>
      </w:pPr>
      <w:r/>
      <w:bookmarkStart w:id="2" w:name="_Toc523404696"/>
      <w:r/>
      <w:bookmarkStart w:id="3" w:name="_Toc522790131"/>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2790132"/>
      <w:r/>
      <w:bookmarkStart w:id="5" w:name="_Toc523404697"/>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ascii="宋体" w:hAnsi="宋体" w:cs="宋体"/>
          <w:i/>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 中标人应当在评审结果公示日起三日内，向采购人提交本文件第三章《投标资料表》中规定金额的履约保证金。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3.中标人凭采购人出具验收书的复印件及收款收据办理履约保证金退付手续。履约保证金在采购人处存放期间，不计利息。</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07"/>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07"/>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28"/>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17"/>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徐州市铜山区卫生健康委员会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hint="eastAsia" w:ascii="宋体" w:hAnsi="宋体" w:eastAsia="宋体" w:cs="宋体"/>
                <w:color w:val="auto"/>
                <w:sz w:val="28"/>
                <w:szCs w:val="28"/>
                <w:lang w:val="en-US" w:eastAsia="zh-CN"/>
              </w:rPr>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一、符合《中华人民共和国政府采购法》第二十二条的规定；</w:t>
            </w:r>
            <w:r/>
          </w:p>
          <w:p>
            <w:pPr>
              <w:keepLines w:val="0"/>
              <w:keepNext w:val="0"/>
              <w:pageBreakBefore w:val="0"/>
              <w:spacing w:line="400" w:lineRule="atLeas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二、本项目属于专门面向中小微企业采购的项目，供应商所提供的货物全部由符合政策要求的中小企业制造，供应商提供的货物的制造商应全部为中小微企业、监狱企业、残疾人福利性单位；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400" w:lineRule="atLeas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三、</w:t>
            </w:r>
            <w:r>
              <w:rPr>
                <w:rFonts w:hint="eastAsia" w:ascii="宋体" w:hAnsi="宋体" w:eastAsia="宋体" w:cs="宋体"/>
                <w:b w:val="0"/>
                <w:bCs w:val="0"/>
                <w:color w:val="auto"/>
                <w:sz w:val="28"/>
                <w:szCs w:val="28"/>
                <w:highlight w:val="none"/>
                <w:lang w:eastAsia="zh-CN"/>
              </w:rPr>
              <w:t xml:space="preserve">本项目的特定资格要求：</w:t>
            </w:r>
            <w:r>
              <w:rPr>
                <w:rFonts w:hint="eastAsia" w:ascii="宋体" w:hAnsi="宋体" w:eastAsia="宋体" w:cs="宋体"/>
                <w:b/>
                <w:bCs/>
                <w:color w:val="auto"/>
                <w:sz w:val="28"/>
                <w:szCs w:val="28"/>
              </w:rPr>
              <w:t xml:space="preserve">具备有效的医疗器械生产（经营）许可证或医疗器械经营备案凭证。</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同时明确相关事项如下：</w:t>
            </w:r>
            <w:r/>
          </w:p>
          <w:p>
            <w:pPr>
              <w:keepLines w:val="0"/>
              <w:keepNext w:val="0"/>
              <w:pageBreakBefore w:val="0"/>
              <w:spacing w:line="400" w:lineRule="atLeast"/>
              <w:rPr>
                <w:rFonts w:ascii="宋体" w:hAnsi="宋体" w:cs="宋体"/>
                <w:color w:val="auto"/>
                <w:sz w:val="28"/>
                <w:szCs w:val="28"/>
              </w:rPr>
            </w:pPr>
            <w:r>
              <w:rPr>
                <w:rFonts w:hint="eastAsia" w:ascii="宋体" w:hAnsi="宋体" w:cs="宋体"/>
                <w:color w:val="auto"/>
                <w:sz w:val="28"/>
                <w:szCs w:val="28"/>
              </w:rPr>
              <w:t xml:space="preserve">1、本项目不接受联合体参与采购活动。</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jc w:val="left"/>
              <w:spacing w:line="400" w:lineRule="atLeast"/>
              <w:widowControl/>
              <w:rPr>
                <w:rFonts w:ascii="宋体" w:hAnsi="宋体" w:cs="宋体"/>
                <w:color w:val="auto"/>
                <w:sz w:val="28"/>
                <w:szCs w:val="28"/>
              </w:rP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4、查询及使用供应商信用记录：</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(一)由采购人查询信用信息。</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rPr>
              <w:t xml:space="preserve">(二)查询渠道包括：</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keepLines w:val="0"/>
              <w:keepNext w:val="0"/>
              <w:pageBreakBefore w:val="0"/>
              <w:spacing w:line="400" w:lineRule="atLeast"/>
              <w:rPr>
                <w:rFonts w:hint="eastAsia" w:ascii="宋体" w:hAnsi="宋体" w:cs="宋体"/>
                <w:color w:val="auto"/>
                <w:sz w:val="28"/>
                <w:szCs w:val="28"/>
              </w:rPr>
            </w:pPr>
            <w:r>
              <w:rPr>
                <w:rFonts w:hint="eastAsia" w:ascii="宋体" w:hAnsi="宋体" w:cs="宋体"/>
                <w:color w:val="auto"/>
                <w:sz w:val="28"/>
                <w:szCs w:val="28"/>
              </w:rPr>
              <w:t xml:space="preserve">和或“信用徐州”网（www.xuzhoucredit.gov.cn/）。</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(三)截止时点（查询环节）：开标后资格审查结束前。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(四)信用信息查询记录和证据留存的具体方式：网页截屏打印，与其他采购文件一并保存。</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(五)信用信息的使用规则：</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jc w:val="left"/>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(十二)1</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spacing w:before="120" w:after="12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spacing w:before="120" w:after="12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spacing w:before="120" w:after="12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（2）节能产品认证证书是否符合要求，采购人评标时查询中国政府采购网（www.ccgp.gov.cn）相关内容后确定。</w:t>
            </w:r>
            <w:r/>
          </w:p>
          <w:p>
            <w:pPr>
              <w:spacing w:before="120" w:after="12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二、资格条件（必须提供，否则投标无效）</w:t>
            </w:r>
            <w:r/>
          </w:p>
          <w:p>
            <w:pPr>
              <w:spacing w:line="400" w:lineRule="exact"/>
              <w:widowControl/>
              <w:rPr>
                <w:rFonts w:hint="eastAsia" w:ascii="宋体" w:hAnsi="宋体" w:cs="宋体"/>
                <w:color w:val="auto"/>
                <w:sz w:val="28"/>
                <w:szCs w:val="28"/>
              </w:rPr>
            </w:pPr>
            <w:r>
              <w:rPr>
                <w:rFonts w:hint="eastAsia" w:ascii="宋体" w:hAnsi="宋体" w:cs="宋体"/>
                <w:b/>
                <w:bCs/>
                <w:color w:val="auto"/>
                <w:sz w:val="28"/>
                <w:szCs w:val="28"/>
              </w:rPr>
              <w:t xml:space="preserve">1.</w:t>
            </w:r>
            <w:bookmarkStart w:id="6" w:name="OLE_LINK10"/>
            <w:r>
              <w:rPr>
                <w:rFonts w:hint="eastAsia" w:ascii="宋体" w:hAnsi="宋体" w:eastAsia="宋体" w:cs="宋体"/>
                <w:b/>
                <w:bCs/>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bookmarkEnd w:id="6"/>
            <w:r>
              <w:rPr>
                <w:rFonts w:hint="eastAsia" w:ascii="宋体" w:hAnsi="宋体" w:cs="宋体"/>
                <w:color w:val="auto"/>
                <w:sz w:val="28"/>
                <w:szCs w:val="28"/>
                <w:lang w:eastAsia="zh-CN"/>
              </w:rPr>
              <w:t xml:space="preserve">。</w:t>
            </w:r>
            <w:r/>
          </w:p>
          <w:p>
            <w:pPr>
              <w:numPr>
                <w:ilvl w:val="0"/>
                <w:numId w:val="0"/>
              </w:numPr>
              <w:spacing w:line="400" w:lineRule="exact"/>
              <w:widowControl/>
              <w:rPr>
                <w:rFonts w:hint="eastAsia" w:ascii="宋体" w:hAnsi="宋体" w:cs="宋体"/>
                <w:b/>
                <w:bCs/>
                <w:color w:val="auto"/>
                <w:sz w:val="28"/>
                <w:szCs w:val="28"/>
                <w:lang w:val="en-US" w:eastAsia="zh-CN"/>
              </w:rPr>
            </w:pPr>
            <w:r>
              <w:rPr>
                <w:rFonts w:hint="eastAsia" w:ascii="宋体" w:hAnsi="宋体" w:eastAsia="宋体" w:cs="宋体"/>
                <w:b/>
                <w:bCs/>
                <w:color w:val="auto"/>
                <w:sz w:val="28"/>
                <w:szCs w:val="28"/>
                <w:lang w:val="en-US" w:eastAsia="zh-CN" w:bidi="ar-SA"/>
              </w:rPr>
              <w:t xml:space="preserve">2.具有良好的商业信誉和健全的财务会计制度，财务状况报告至少提供</w:t>
            </w:r>
            <w:r>
              <w:rPr>
                <w:rFonts w:hint="eastAsia" w:ascii="宋体" w:hAnsi="宋体" w:cs="宋体"/>
                <w:b/>
                <w:bCs/>
                <w:color w:val="auto"/>
                <w:sz w:val="28"/>
                <w:szCs w:val="28"/>
                <w:lang w:val="en-US" w:eastAsia="zh-CN"/>
              </w:rPr>
              <w:t xml:space="preserve">：</w:t>
            </w:r>
            <w:r/>
          </w:p>
          <w:p>
            <w:pPr>
              <w:numPr>
                <w:ilvl w:val="0"/>
                <w:numId w:val="0"/>
              </w:numPr>
              <w:spacing w:line="400" w:lineRule="exact"/>
              <w:widowControl/>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投标人的本项目开标时间前6个月内（不含开标当月）任何1月的资产负债表</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利润表原件的扫描件各一份；或</w:t>
            </w:r>
            <w:r>
              <w:rPr>
                <w:rFonts w:hint="eastAsia" w:ascii="宋体" w:hAnsi="宋体" w:cs="宋体"/>
                <w:color w:val="auto"/>
                <w:sz w:val="28"/>
                <w:szCs w:val="28"/>
                <w:lang w:val="en-US" w:eastAsia="zh-CN"/>
              </w:rPr>
              <w:t xml:space="preserve">提供</w:t>
            </w:r>
            <w:r>
              <w:rPr>
                <w:rFonts w:hint="eastAsia" w:ascii="宋体" w:hAnsi="宋体" w:cs="宋体"/>
                <w:color w:val="auto"/>
                <w:sz w:val="28"/>
                <w:szCs w:val="28"/>
              </w:rPr>
              <w:t xml:space="preserve">投标人的本项目开标时间前6个月内（不含开标当月）银行出具的资</w:t>
            </w:r>
            <w:r>
              <w:rPr>
                <w:rFonts w:hint="eastAsia" w:ascii="宋体" w:hAnsi="宋体" w:eastAsia="宋体" w:cs="宋体"/>
                <w:color w:val="auto"/>
                <w:sz w:val="28"/>
                <w:szCs w:val="28"/>
              </w:rPr>
              <w:t xml:space="preserve">信证明扫描件）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或提供投标人合法有效的经第三方机构审计的</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年度财务审计报告扫描件</w:t>
            </w:r>
            <w:r>
              <w:rPr>
                <w:rFonts w:hint="eastAsia" w:ascii="宋体" w:hAnsi="宋体" w:cs="宋体"/>
                <w:color w:val="auto"/>
                <w:sz w:val="28"/>
                <w:szCs w:val="28"/>
                <w:lang w:eastAsia="zh-CN"/>
              </w:rPr>
              <w:t xml:space="preserve">。</w:t>
            </w:r>
            <w:r/>
          </w:p>
          <w:p>
            <w:pPr>
              <w:numPr>
                <w:ilvl w:val="0"/>
                <w:numId w:val="0"/>
              </w:numPr>
              <w:spacing w:line="400" w:lineRule="exact"/>
              <w:widowControl/>
              <w:rPr>
                <w:rFonts w:hint="eastAsia" w:ascii="宋体" w:hAnsi="宋体" w:cs="宋体"/>
                <w:b/>
                <w:bCs/>
                <w:color w:val="auto"/>
                <w:sz w:val="28"/>
                <w:szCs w:val="28"/>
              </w:rPr>
            </w:pPr>
            <w:r>
              <w:rPr>
                <w:rFonts w:hint="eastAsia" w:ascii="宋体" w:hAnsi="宋体" w:eastAsia="宋体" w:cs="宋体"/>
                <w:b/>
                <w:bCs/>
                <w:color w:val="auto"/>
                <w:sz w:val="28"/>
                <w:szCs w:val="28"/>
                <w:lang w:val="en-US" w:eastAsia="zh-CN" w:bidi="ar-SA"/>
              </w:rPr>
              <w:t xml:space="preserve">3.</w:t>
            </w:r>
            <w:r>
              <w:rPr>
                <w:rFonts w:hint="eastAsia" w:ascii="宋体" w:hAnsi="宋体" w:cs="宋体"/>
                <w:b/>
                <w:bCs/>
                <w:color w:val="auto"/>
                <w:sz w:val="28"/>
                <w:szCs w:val="28"/>
              </w:rPr>
              <w:t xml:space="preserve">具有依法缴纳税收和社会保障资金的良好记录，即提供：</w:t>
            </w:r>
            <w:r/>
          </w:p>
          <w:p>
            <w:pPr>
              <w:numPr>
                <w:ilvl w:val="0"/>
                <w:numId w:val="0"/>
              </w:numPr>
              <w:spacing w:line="400" w:lineRule="exact"/>
              <w:widowControl/>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投标人的本项目开标时间前6个月内（不含开标当月）任何1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auto"/>
                <w:sz w:val="28"/>
                <w:szCs w:val="28"/>
                <w:lang w:eastAsia="zh-CN"/>
              </w:rPr>
              <w:t xml:space="preserve">。</w:t>
            </w:r>
            <w:r/>
          </w:p>
          <w:p>
            <w:pPr>
              <w:spacing w:line="400" w:lineRule="exact"/>
              <w:widowControl/>
              <w:rPr>
                <w:rFonts w:hint="eastAsia" w:ascii="宋体" w:hAnsi="宋体" w:eastAsia="宋体" w:cs="宋体"/>
                <w:b w:val="0"/>
                <w:bCs w:val="0"/>
                <w:color w:val="auto"/>
                <w:sz w:val="28"/>
                <w:lang w:eastAsia="zh-CN"/>
              </w:rPr>
            </w:pPr>
            <w:r>
              <w:rPr>
                <w:rFonts w:hint="eastAsia" w:ascii="宋体" w:hAnsi="宋体" w:cs="宋体"/>
                <w:b/>
                <w:bCs/>
                <w:color w:val="auto"/>
                <w:sz w:val="28"/>
                <w:szCs w:val="28"/>
              </w:rPr>
              <w:t xml:space="preserve">4.</w:t>
            </w:r>
            <w:r>
              <w:rPr>
                <w:rFonts w:ascii="宋体" w:hAnsi="宋体" w:eastAsia="宋体" w:cs="宋体"/>
                <w:b/>
                <w:bCs/>
                <w:color w:val="auto"/>
                <w:sz w:val="28"/>
              </w:rPr>
              <w:t xml:space="preserve">具备履行合同所必需的设备和专业技术能力的证明材料</w:t>
            </w:r>
            <w:r>
              <w:rPr>
                <w:rFonts w:hint="eastAsia" w:ascii="宋体" w:hAnsi="宋体" w:eastAsia="宋体" w:cs="宋体"/>
                <w:b/>
                <w:bCs/>
                <w:color w:val="auto"/>
                <w:sz w:val="28"/>
                <w:lang w:eastAsia="zh-CN"/>
              </w:rPr>
              <w:t xml:space="preserve">，</w:t>
            </w:r>
            <w:r>
              <w:rPr>
                <w:rFonts w:hint="eastAsia" w:ascii="宋体" w:hAnsi="宋体" w:eastAsia="宋体" w:cs="宋体"/>
                <w:b/>
                <w:bCs/>
                <w:color w:val="auto"/>
                <w:sz w:val="28"/>
              </w:rPr>
              <w:t xml:space="preserve">即提供</w:t>
            </w:r>
            <w:r>
              <w:rPr>
                <w:rFonts w:hint="eastAsia" w:ascii="宋体" w:hAnsi="宋体" w:eastAsia="宋体" w:cs="宋体"/>
                <w:b/>
                <w:bCs/>
                <w:color w:val="auto"/>
                <w:sz w:val="28"/>
                <w:lang w:eastAsia="zh-CN"/>
              </w:rPr>
              <w:t xml:space="preserve">：</w:t>
            </w:r>
            <w:r>
              <w:rPr>
                <w:rFonts w:hint="eastAsia" w:ascii="宋体" w:hAnsi="宋体" w:eastAsia="宋体" w:cs="宋体"/>
                <w:b w:val="0"/>
                <w:bCs w:val="0"/>
                <w:color w:val="auto"/>
                <w:sz w:val="28"/>
              </w:rPr>
              <w:t xml:space="preserve">投标人的有效的医疗器械生产（经营）许可证或医疗器械经营备案凭证扫描件</w:t>
            </w:r>
            <w:r>
              <w:rPr>
                <w:rFonts w:hint="eastAsia" w:ascii="宋体" w:hAnsi="宋体" w:cs="宋体"/>
                <w:b w:val="0"/>
                <w:bCs w:val="0"/>
                <w:color w:val="auto"/>
                <w:sz w:val="28"/>
                <w:lang w:eastAsia="zh-CN"/>
              </w:rPr>
              <w:t xml:space="preserve">。</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spacing w:line="400" w:lineRule="atLeast"/>
              <w:rPr>
                <w:rFonts w:hint="eastAsia" w:ascii="宋体" w:hAnsi="宋体" w:cs="宋体"/>
                <w:b/>
                <w:bCs/>
                <w:color w:val="auto"/>
                <w:sz w:val="28"/>
                <w:szCs w:val="28"/>
              </w:rPr>
            </w:pPr>
            <w:r>
              <w:rPr>
                <w:rFonts w:ascii="宋体" w:hAnsi="宋体" w:eastAsia="宋体"/>
                <w:color w:val="auto"/>
                <w:sz w:val="28"/>
                <w:szCs w:val="28"/>
              </w:rPr>
              <w:t xml:space="preserve"> </w:t>
            </w:r>
            <w:bookmarkStart w:id="7" w:name="OLE_LINK4"/>
            <w:r>
              <w:rPr>
                <w:rFonts w:hint="eastAsia" w:ascii="宋体" w:hAnsi="宋体"/>
                <w:color w:val="auto"/>
                <w:sz w:val="28"/>
                <w:szCs w:val="28"/>
                <w:lang w:val="en-US" w:eastAsia="zh-CN"/>
              </w:rPr>
              <w:t xml:space="preserve">6.</w:t>
            </w:r>
            <w:r>
              <w:rPr>
                <w:rFonts w:hint="eastAsia" w:ascii="宋体" w:hAnsi="宋体" w:cs="宋体"/>
                <w:color w:val="auto"/>
                <w:sz w:val="28"/>
                <w:szCs w:val="28"/>
              </w:rPr>
              <w:t xml:space="preserve">提供的货物全部由符合政策要求的中小企业制造，</w:t>
            </w: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提供的货物的制造商应全部为中小微企业、监狱企业、残疾人福利性单位。</w:t>
            </w:r>
            <w:r>
              <w:rPr>
                <w:rFonts w:ascii="Times New Roman" w:hAnsi="Times New Roman" w:cs="Times New Roman"/>
                <w:b/>
                <w:bCs/>
                <w:color w:val="auto"/>
                <w:sz w:val="28"/>
                <w:szCs w:val="28"/>
                <w:highlight w:val="none"/>
              </w:rPr>
              <w:t xml:space="preserve">提供《中小企业声明函》</w:t>
            </w:r>
            <w:bookmarkEnd w:id="7"/>
            <w:r>
              <w:rPr>
                <w:rFonts w:hint="eastAsia" w:ascii="宋体" w:hAnsi="宋体" w:cs="宋体"/>
                <w:b w:val="0"/>
                <w:bCs w:val="0"/>
                <w:color w:val="auto"/>
                <w:sz w:val="28"/>
                <w:szCs w:val="28"/>
              </w:rPr>
              <w:t xml:space="preserve">（加盖电子签章</w:t>
            </w: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rPr>
              <w:t xml:space="preserve">格式见招标文件第七章《投标文件相关格</w:t>
            </w:r>
            <w:r>
              <w:rPr>
                <w:rFonts w:hint="eastAsia" w:ascii="宋体" w:hAnsi="宋体" w:eastAsia="宋体" w:cs="宋体"/>
                <w:b w:val="0"/>
                <w:bCs w:val="0"/>
                <w:color w:val="auto"/>
                <w:sz w:val="28"/>
                <w:szCs w:val="28"/>
              </w:rPr>
              <w:t xml:space="preserve">式》</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如不填写完整，视为无效</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w:t>
            </w:r>
            <w:r>
              <w:rPr>
                <w:rFonts w:hint="eastAsia" w:ascii="宋体" w:hAnsi="宋体" w:cs="宋体"/>
                <w:b/>
                <w:color w:val="auto"/>
                <w:sz w:val="28"/>
                <w:szCs w:val="28"/>
              </w:rPr>
              <w:t xml:space="preserve">“中小企业声明函”查询渠道用微信搜索“中小企业规模类型自测小程序”。</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注：具体以《政府采购促进中小企业发展管理办法》（财库[2020]46号）和《关于印发中小企业划型标准规定的通知》（工信部联企业[2011]300号）的规定为准。</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注：监狱企业和残疾人福利性单位等同于小微企业。</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投标人为监狱企业的，提供省级以上监狱管理局、戒毒管理局（含新疆生产建设兵团）出具的属于监狱企业的证明文件原件的扫描件。</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具体以《财政部 司法部关于政府采购支持监狱企业发展有关问题的通知》（财库〔2014〕68号）的规定为准。</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享受政府采购支持政策的残疾人福利性单位应当同时满足以下条件：</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①</w:t>
            </w:r>
            <w:r>
              <w:rPr>
                <w:rFonts w:ascii="Times New Roman" w:hAnsi="Times New Roman" w:cs="Times New Roman"/>
                <w:color w:val="auto"/>
                <w:sz w:val="28"/>
                <w:szCs w:val="28"/>
                <w:highlight w:val="none"/>
              </w:rPr>
              <w:t xml:space="preserve">安置的残疾人占本单位在职职工人数的比例不低于25%（含25%），并且安置的残疾人人数不少于10人（含10人）；</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②</w:t>
            </w:r>
            <w:r>
              <w:rPr>
                <w:rFonts w:ascii="Times New Roman" w:hAnsi="Times New Roman" w:cs="Times New Roman"/>
                <w:color w:val="auto"/>
                <w:sz w:val="28"/>
                <w:szCs w:val="28"/>
                <w:highlight w:val="none"/>
              </w:rPr>
              <w:t xml:space="preserve">依法与安置的每位残疾人签订了一年以上（含一年）的劳动合同或服务协议；</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③</w:t>
            </w:r>
            <w:r>
              <w:rPr>
                <w:rFonts w:ascii="Times New Roman" w:hAnsi="Times New Roman" w:cs="Times New Roman"/>
                <w:color w:val="auto"/>
                <w:sz w:val="28"/>
                <w:szCs w:val="28"/>
                <w:highlight w:val="none"/>
              </w:rPr>
              <w:t xml:space="preserve">为安置的每位残疾人按月足额缴纳了基本养老保险、基本医疗保险、失业保险、工伤保险和生育保险等社会保险费；</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④</w:t>
            </w:r>
            <w:r>
              <w:rPr>
                <w:rFonts w:ascii="Times New Roman" w:hAnsi="Times New Roman"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⑤</w:t>
            </w:r>
            <w:r>
              <w:rPr>
                <w:rFonts w:ascii="Times New Roman" w:hAnsi="Times New Roman"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pStyle w:val="1019"/>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9"/>
              <w:jc w:val="both"/>
              <w:keepLines w:val="0"/>
              <w:keepNext w:val="0"/>
              <w:spacing w:before="0" w:beforeAutospacing="0" w:after="0" w:afterAutospacing="0" w:line="0" w:lineRule="atLeast"/>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具体以《三部门联合发布关于促进残疾人就业政府采购政策的通知》（财库〔2017〕141号）规定为准。</w:t>
            </w:r>
            <w:r/>
          </w:p>
          <w:p>
            <w:pPr>
              <w:pStyle w:val="996"/>
              <w:rPr>
                <w:rFonts w:ascii="宋体" w:hAnsi="宋体" w:cs="宋体"/>
                <w:b/>
                <w:color w:val="auto"/>
                <w:sz w:val="28"/>
                <w:szCs w:val="28"/>
              </w:rPr>
            </w:pPr>
            <w:r>
              <w:rPr>
                <w:rFonts w:hint="eastAsia" w:ascii="宋体" w:hAnsi="宋体" w:cs="宋体"/>
                <w:b/>
                <w:color w:val="auto"/>
                <w:sz w:val="28"/>
                <w:szCs w:val="28"/>
              </w:rPr>
              <w:t xml:space="preserve">三、符合条件（必须提供，否则投标无效）</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(一)报价</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1.《分项价格表》（加盖电子签章，格式见招标文件第七章《投标文件相关格式》。）</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（二）商务资信</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1.《投标函》（加盖电子签章，格式见招标文件第七章《投标文件相关格式》。）</w:t>
            </w:r>
            <w:r/>
          </w:p>
          <w:p>
            <w:pPr>
              <w:spacing w:before="200" w:after="20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（三）技术响应</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1.《偏离表》（加盖电子签章，格式见招标文件第七章《投标文件相关格式》。）</w:t>
            </w:r>
            <w:r/>
          </w:p>
          <w:p>
            <w:pPr>
              <w:spacing w:before="120" w:after="12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ascii="宋体" w:hAnsi="宋体" w:cs="宋体"/>
                <w:color w:val="auto"/>
                <w:sz w:val="28"/>
                <w:szCs w:val="28"/>
              </w:rPr>
            </w:pPr>
            <w:r>
              <w:rPr>
                <w:rFonts w:hint="eastAsia" w:ascii="宋体" w:hAnsi="宋体" w:cs="宋体"/>
                <w:color w:val="auto"/>
                <w:sz w:val="28"/>
                <w:szCs w:val="28"/>
              </w:rPr>
              <w:t xml:space="preserve">（一）技术部分</w:t>
            </w:r>
            <w:r/>
          </w:p>
          <w:p>
            <w:pPr>
              <w:ind w:firstLine="560"/>
              <w:rPr>
                <w:rFonts w:ascii="宋体" w:hAnsi="宋体" w:cs="宋体"/>
                <w:color w:val="auto"/>
                <w:sz w:val="28"/>
                <w:szCs w:val="28"/>
              </w:rPr>
            </w:pPr>
            <w:r>
              <w:rPr>
                <w:rFonts w:hint="eastAsia" w:ascii="宋体" w:hAnsi="宋体" w:cs="宋体"/>
                <w:color w:val="auto"/>
                <w:sz w:val="28"/>
                <w:szCs w:val="28"/>
              </w:rPr>
              <w:t xml:space="preserve">根据评分细则和项目要求自行编写，并附相关证明材料扫描件。</w:t>
            </w:r>
            <w:r/>
          </w:p>
          <w:p>
            <w:pPr>
              <w:rPr>
                <w:rFonts w:ascii="宋体" w:hAnsi="宋体" w:cs="宋体"/>
                <w:color w:val="auto"/>
                <w:sz w:val="28"/>
                <w:szCs w:val="28"/>
              </w:rPr>
            </w:pPr>
            <w:r>
              <w:rPr>
                <w:rFonts w:hint="eastAsia" w:ascii="宋体" w:hAnsi="宋体" w:cs="宋体"/>
                <w:color w:val="auto"/>
                <w:sz w:val="28"/>
                <w:szCs w:val="28"/>
              </w:rPr>
              <w:t xml:space="preserve">（二）商务部分</w:t>
            </w:r>
            <w:r/>
          </w:p>
          <w:p>
            <w:pPr>
              <w:ind w:firstLine="560"/>
              <w:rPr>
                <w:rFonts w:ascii="宋体" w:hAnsi="宋体" w:cs="宋体"/>
                <w:color w:val="auto"/>
                <w:sz w:val="28"/>
                <w:szCs w:val="28"/>
              </w:rPr>
            </w:pPr>
            <w:r>
              <w:rPr>
                <w:rFonts w:hint="eastAsia" w:ascii="宋体" w:hAnsi="宋体" w:cs="宋体"/>
                <w:color w:val="auto"/>
                <w:sz w:val="28"/>
                <w:szCs w:val="28"/>
              </w:rPr>
              <w:t xml:space="preserve">根据评分细则和项目要求自行编写，并附相关证明材料扫描件。</w:t>
            </w:r>
            <w:r/>
          </w:p>
          <w:p>
            <w:pPr>
              <w:numPr>
                <w:ilvl w:val="0"/>
                <w:numId w:val="0"/>
              </w:numPr>
              <w:spacing w:before="120" w:after="120" w:line="400"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val="en-US" w:eastAsia="zh-CN" w:bidi="ar-SA"/>
              </w:rPr>
              <w:t xml:space="preserve">五、</w:t>
            </w:r>
            <w:r>
              <w:rPr>
                <w:rFonts w:hint="eastAsia" w:ascii="宋体" w:hAnsi="宋体" w:cs="宋体"/>
                <w:b/>
                <w:color w:val="auto"/>
                <w:sz w:val="28"/>
                <w:szCs w:val="28"/>
              </w:rPr>
              <w:t xml:space="preserve">价格折扣文件格式</w:t>
            </w:r>
            <w:r/>
          </w:p>
          <w:p>
            <w:pPr>
              <w:spacing w:line="400" w:lineRule="atLeast"/>
              <w:rPr>
                <w:rFonts w:hint="eastAsia" w:ascii="宋体" w:hAnsi="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无</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1.投标人应对以上文件的合法性、真实性负责。</w:t>
            </w:r>
            <w:r/>
          </w:p>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商务条件见：</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一、本文件第四章《评标标准》中《评分细则》。</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b/>
                <w:bCs w:val="0"/>
                <w:color w:val="auto"/>
                <w:sz w:val="28"/>
                <w:szCs w:val="28"/>
              </w:rPr>
              <w:t xml:space="preserve">本项目不接受超过</w:t>
            </w:r>
            <w:r>
              <w:rPr>
                <w:rFonts w:hint="eastAsia" w:ascii="宋体" w:hAnsi="宋体" w:cs="宋体"/>
                <w:b/>
                <w:bCs w:val="0"/>
                <w:color w:val="auto"/>
                <w:sz w:val="28"/>
                <w:szCs w:val="28"/>
                <w:lang w:eastAsia="zh-CN"/>
              </w:rPr>
              <w:t xml:space="preserve">50万元</w:t>
            </w:r>
            <w:r>
              <w:rPr>
                <w:rFonts w:hint="eastAsia" w:ascii="宋体" w:hAnsi="宋体" w:cs="宋体"/>
                <w:b/>
                <w:bCs w:val="0"/>
                <w:color w:val="auto"/>
                <w:sz w:val="28"/>
                <w:szCs w:val="28"/>
              </w:rPr>
              <w:t xml:space="preserve">人民币（采购项目预算金额）的投标报价</w:t>
            </w:r>
            <w:r>
              <w:rPr>
                <w:rFonts w:hint="eastAsia" w:ascii="宋体" w:hAnsi="宋体" w:eastAsia="宋体" w:cs="宋体"/>
                <w:b/>
                <w:bCs w:val="0"/>
                <w:color w:val="auto"/>
                <w:sz w:val="28"/>
                <w:szCs w:val="28"/>
                <w:highlight w:val="none"/>
              </w:rPr>
              <w:t xml:space="preserve">。</w:t>
            </w:r>
            <w:r>
              <w:rPr>
                <w:rFonts w:hint="eastAsia" w:ascii="宋体" w:hAnsi="宋体" w:eastAsia="宋体" w:cs="宋体"/>
                <w:color w:val="auto"/>
                <w:sz w:val="28"/>
                <w:szCs w:val="28"/>
                <w:highlight w:val="none"/>
              </w:rPr>
              <w:t xml:space="preserve">报价包括产品价、税金、运费、安装调试、检验、保险、验收等全部费用。用户不再支付报价以外的任何费用</w:t>
            </w:r>
            <w:r>
              <w:rPr>
                <w:rFonts w:hint="eastAsia" w:ascii="宋体" w:hAnsi="宋体" w:cs="宋体"/>
                <w:bCs/>
                <w:color w:val="auto"/>
                <w:sz w:val="28"/>
                <w:szCs w:val="28"/>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投标文件的提交与接收： </w:t>
            </w:r>
            <w:r/>
          </w:p>
          <w:p>
            <w:pPr>
              <w:ind w:left="560" w:hanging="560"/>
              <w:spacing w:line="400" w:lineRule="atLeast"/>
              <w:rPr>
                <w:rFonts w:ascii="宋体" w:hAnsi="宋体" w:cs="宋体"/>
                <w:color w:val="auto"/>
                <w:sz w:val="28"/>
                <w:szCs w:val="28"/>
              </w:rPr>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2025年11月4日北京时间10:00</w:t>
            </w:r>
            <w:r>
              <w:rPr>
                <w:rFonts w:hint="eastAsia" w:ascii="宋体" w:hAnsi="宋体" w:cs="宋体"/>
                <w:color w:val="auto"/>
                <w:sz w:val="28"/>
                <w:szCs w:val="28"/>
              </w:rPr>
              <w:t xml:space="preserve">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2025年11月4日北京时间10:00</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开标时间及地点：</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2025年11月4日北京时间10:00</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//czj.xz.gov.cn/</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Home/HomeIndex）--业务工作--用户登录，点击“苏采云”进入系统“开标大厅”。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(二十八)1</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spacing w:line="400" w:lineRule="atLeas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8" w:name="OLE_LINK8"/>
            <w:r>
              <w:rPr>
                <w:rFonts w:hint="eastAsia" w:ascii="宋体" w:hAnsi="宋体" w:cs="宋体"/>
                <w:color w:val="auto"/>
                <w:sz w:val="28"/>
                <w:szCs w:val="28"/>
                <w:lang w:eastAsia="zh-CN"/>
              </w:rPr>
              <w:t xml:space="preserve">按所投产品的技术规格得分由高到低顺序排列，得分且投标报价且所投产品的技术规格得分均相同的，按供货、安装方案得分由高到低顺序排列。</w:t>
            </w:r>
            <w:bookmarkEnd w:id="8"/>
            <w:r/>
            <w:r/>
          </w:p>
          <w:p>
            <w:pPr>
              <w:spacing w:line="400" w:lineRule="atLeast"/>
              <w:rPr>
                <w:rFonts w:hint="eastAsia" w:ascii="宋体" w:hAnsi="宋体" w:cs="宋体"/>
                <w:color w:val="auto"/>
                <w:sz w:val="28"/>
                <w:szCs w:val="28"/>
              </w:rPr>
            </w:pPr>
            <w:r>
              <w:rPr>
                <w:rFonts w:hint="eastAsia" w:ascii="宋体" w:hAnsi="宋体" w:cs="宋体"/>
                <w:color w:val="auto"/>
                <w:sz w:val="28"/>
                <w:szCs w:val="28"/>
                <w:lang w:eastAsia="zh-CN"/>
              </w:rPr>
              <w:t xml:space="preserve">三、采购人应当自收到评标报告之日起５个工作日内，在评标报告确定的中标候选人名单中按得分最高顺序确定一名中标人。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（二十九）</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实施政府采购异常低价投标审查的情形和具体要求</w:t>
            </w:r>
            <w:r>
              <w:rPr>
                <w:rFonts w:hint="eastAsia" w:ascii="宋体" w:hAnsi="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1.评审过程中出现下列情形之一的，评标委员会应当启动异常低价投标审查程序：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（1）投标报价低于采购项目预算50%的，即投标报价&lt;采购项目预算×50%；</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（2）投标报价低于采购项目最高限价45%的，即投标报价&lt;采购项目最高限价×45%；</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（3）评标委员会认定的投标人报价过低、有可能影响产品质量或者不能诚信履约的其他情形。</w:t>
            </w:r>
            <w:r/>
          </w:p>
          <w:p>
            <w:pPr>
              <w:spacing w:line="40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2.启动异常</w:t>
            </w:r>
            <w:r>
              <w:rPr>
                <w:rFonts w:hint="eastAsia" w:ascii="宋体" w:hAnsi="宋体" w:eastAsia="宋体" w:cs="宋体"/>
                <w:color w:val="auto"/>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400" w:lineRule="atLeast"/>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spacing w:line="400" w:lineRule="atLeast"/>
              <w:rPr>
                <w:rFonts w:hint="eastAsia"/>
                <w:color w:val="auto"/>
              </w:rPr>
            </w:pPr>
            <w:r>
              <w:rPr>
                <w:rFonts w:hint="eastAsia" w:ascii="宋体" w:hAnsi="宋体" w:cs="宋体"/>
                <w:color w:val="auto"/>
                <w:sz w:val="28"/>
                <w:szCs w:val="28"/>
              </w:rPr>
              <w:t xml:space="preserve">相关内容和要求见：《中华人民共和国政府采购法》、《中华人民共和国政府采购法实施条例》及铜财购[2025]12号文件。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6"/>
              <w:spacing w:line="400" w:lineRule="atLeast"/>
              <w:rPr>
                <w:rFonts w:hAnsi="宋体" w:eastAsia="宋体" w:cs="宋体"/>
                <w:color w:val="auto"/>
                <w:sz w:val="28"/>
                <w:szCs w:val="28"/>
              </w:rPr>
            </w:pPr>
            <w:r>
              <w:rPr>
                <w:rFonts w:hint="eastAsia" w:hAnsi="宋体" w:eastAsia="宋体" w:cs="宋体"/>
                <w:color w:val="auto"/>
                <w:sz w:val="28"/>
                <w:szCs w:val="28"/>
              </w:rPr>
              <w:t xml:space="preserve">供应商在法定质疑期内一次性提出针对同一采购程序环节的质疑。</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质疑接收人：曹欣；联系电话：0516-82306076</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中标人在收到中标通知书时，须向采购代理机构提交《开标一览表》和《分项价格表》的数据文件（WORD格式）以及</w:t>
            </w:r>
            <w:r>
              <w:rPr>
                <w:rFonts w:hint="eastAsia" w:ascii="宋体" w:hAnsi="宋体" w:cs="宋体"/>
                <w:b/>
                <w:bCs/>
                <w:color w:val="auto"/>
                <w:sz w:val="28"/>
                <w:szCs w:val="28"/>
              </w:rPr>
              <w:t xml:space="preserve">与“苏采云”系统中完全一致的纸质胶装</w:t>
            </w:r>
            <w:r>
              <w:rPr>
                <w:rFonts w:hint="eastAsia" w:ascii="宋体" w:hAnsi="宋体" w:cs="宋体"/>
                <w:b/>
                <w:bCs/>
                <w:color w:val="auto"/>
                <w:sz w:val="28"/>
                <w:szCs w:val="28"/>
                <w:lang w:val="en-US" w:eastAsia="zh-CN"/>
              </w:rPr>
              <w:t xml:space="preserve">版</w:t>
            </w:r>
            <w:r>
              <w:rPr>
                <w:rFonts w:hint="eastAsia" w:ascii="宋体" w:hAnsi="宋体" w:eastAsia="宋体" w:cs="宋体"/>
                <w:b/>
                <w:bCs/>
                <w:color w:val="auto"/>
                <w:sz w:val="28"/>
                <w:szCs w:val="28"/>
                <w:highlight w:val="none"/>
              </w:rPr>
              <w:t xml:space="preserve">投标文件纸质版三份</w:t>
            </w:r>
            <w:r>
              <w:rPr>
                <w:rFonts w:hint="eastAsia" w:ascii="宋体" w:hAnsi="宋体" w:cs="宋体"/>
                <w:b/>
                <w:bCs/>
                <w:color w:val="auto"/>
                <w:sz w:val="28"/>
                <w:szCs w:val="28"/>
              </w:rPr>
              <w:t xml:space="preserve">。</w:t>
            </w:r>
            <w:r/>
          </w:p>
        </w:tc>
      </w:tr>
    </w:tbl>
    <w:p>
      <w:pPr>
        <w:ind w:firstLine="600"/>
        <w:spacing w:line="240" w:lineRule="exact"/>
        <w:widowControl/>
        <w:rPr>
          <w:rFonts w:ascii="宋体" w:hAnsi="宋体" w:cs="宋体"/>
          <w:color w:val="auto"/>
          <w:sz w:val="30"/>
          <w:szCs w:val="30"/>
        </w:rPr>
      </w:pPr>
      <w:r/>
      <w:bookmarkStart w:id="9" w:name="_Toc522790133"/>
      <w:r/>
      <w:r/>
    </w:p>
    <w:p>
      <w:pPr>
        <w:pStyle w:val="841"/>
        <w:jc w:val="center"/>
        <w:spacing w:before="0" w:beforeAutospacing="0" w:after="0" w:afterAutospacing="0"/>
        <w:rPr>
          <w:b/>
          <w:bCs/>
          <w:color w:val="auto"/>
          <w:sz w:val="28"/>
          <w:szCs w:val="28"/>
        </w:rPr>
      </w:pPr>
      <w:r>
        <w:rPr>
          <w:rFonts w:hint="eastAsia"/>
          <w:color w:val="auto"/>
          <w:sz w:val="30"/>
          <w:szCs w:val="30"/>
        </w:rPr>
        <w:br w:type="page" w:clear="all"/>
      </w:r>
      <w:bookmarkStart w:id="10"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17"/>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1-10亿元（含10亿元）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50亿元以上</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0.005%</w:t>
            </w:r>
            <w:r/>
          </w:p>
        </w:tc>
      </w:tr>
    </w:tbl>
    <w:p>
      <w:pPr>
        <w:jc w:val="center"/>
        <w:spacing w:line="400" w:lineRule="exact"/>
        <w:rPr>
          <w:rFonts w:ascii="宋体" w:hAnsi="宋体" w:cs="宋体"/>
          <w:color w:val="auto"/>
          <w:sz w:val="32"/>
          <w:szCs w:val="32"/>
        </w:rPr>
      </w:pPr>
      <w:r>
        <w:rPr>
          <w:rFonts w:ascii="宋体" w:hAnsi="宋体" w:cs="宋体"/>
          <w:color w:val="auto"/>
          <w:sz w:val="32"/>
          <w:szCs w:val="32"/>
        </w:rPr>
      </w:r>
      <w:r/>
    </w:p>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rPr>
      </w:pPr>
      <w:r>
        <w:rPr>
          <w:rFonts w:hint="eastAsia" w:ascii="宋体" w:hAnsi="宋体" w:cs="宋体"/>
          <w:color w:val="auto"/>
          <w:sz w:val="24"/>
        </w:rPr>
        <w:t xml:space="preserve">6.有分包(分标段)的按一个项目计算。</w:t>
      </w:r>
      <w:r/>
    </w:p>
    <w:p>
      <w:pPr>
        <w:spacing w:line="312" w:lineRule="auto"/>
        <w:rPr>
          <w:rFonts w:ascii="宋体" w:hAnsi="宋体" w:cs="宋体"/>
          <w:color w:val="auto"/>
          <w:sz w:val="24"/>
        </w:rPr>
      </w:pPr>
      <w:r>
        <w:rPr>
          <w:rFonts w:hint="eastAsia" w:ascii="宋体" w:hAnsi="宋体" w:cs="宋体"/>
          <w:color w:val="auto"/>
          <w:sz w:val="24"/>
          <w:lang w:val="en-US" w:eastAsia="zh-CN"/>
        </w:rPr>
        <w:t xml:space="preserve">7</w:t>
      </w:r>
      <w:r>
        <w:rPr>
          <w:rFonts w:hint="eastAsia" w:ascii="宋体" w:hAnsi="宋体" w:cs="宋体"/>
          <w:color w:val="auto"/>
          <w:sz w:val="24"/>
        </w:rPr>
        <w:t xml:space="preserve">.代理服务费用缴纳账户信息：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jc w:val="center"/>
        <w:spacing w:line="312" w:lineRule="auto"/>
        <w:rPr>
          <w:rFonts w:ascii="宋体" w:hAnsi="宋体" w:cs="宋体"/>
          <w:b/>
          <w:bCs/>
          <w:color w:val="auto"/>
          <w:sz w:val="30"/>
          <w:szCs w:val="44"/>
        </w:rPr>
      </w:pPr>
      <w:r>
        <w:rPr>
          <w:rFonts w:hint="eastAsia" w:ascii="宋体" w:hAnsi="宋体" w:cs="宋体"/>
          <w:b/>
          <w:bCs/>
          <w:color w:val="auto"/>
          <w:sz w:val="30"/>
          <w:szCs w:val="44"/>
        </w:rPr>
        <w:t xml:space="preserve">第四章  评标标准</w:t>
      </w:r>
      <w:bookmarkEnd w:id="9"/>
      <w:r/>
      <w:bookmarkEnd w:id="10"/>
      <w:r/>
      <w:r/>
    </w:p>
    <w:tbl>
      <w:tblPr>
        <w:tblStyle w:val="844"/>
        <w:tblpPr w:horzAnchor="page" w:tblpXSpec="center" w:vertAnchor="text" w:tblpY="247" w:leftFromText="180" w:topFromText="0" w:rightFromText="180" w:bottomFromText="0"/>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170"/>
        <w:gridCol w:w="6328"/>
      </w:tblGrid>
      <w:tr>
        <w:trPr>
          <w:jc w:val="center"/>
          <w:trHeight w:val="460"/>
        </w:trPr>
        <w:tc>
          <w:tcPr>
            <w:gridSpan w:val="2"/>
            <w:tcMar>
              <w:left w:w="108" w:type="dxa"/>
              <w:top w:w="0" w:type="dxa"/>
              <w:right w:w="108" w:type="dxa"/>
              <w:bottom w:w="0" w:type="dxa"/>
            </w:tcMar>
            <w:tcW w:w="2234"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w:t>
            </w:r>
            <w:r/>
          </w:p>
        </w:tc>
        <w:tc>
          <w:tcPr>
            <w:tcMar>
              <w:left w:w="108" w:type="dxa"/>
              <w:top w:w="0" w:type="dxa"/>
              <w:right w:w="108" w:type="dxa"/>
              <w:bottom w:w="0" w:type="dxa"/>
            </w:tcMar>
            <w:tcW w:w="6328"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  分  依  据</w:t>
            </w:r>
            <w:r/>
          </w:p>
        </w:tc>
      </w:tr>
      <w:tr>
        <w:trPr>
          <w:jc w:val="center"/>
          <w:trHeight w:val="1037"/>
        </w:trPr>
        <w:tc>
          <w:tcPr>
            <w:tcMar>
              <w:left w:w="108" w:type="dxa"/>
              <w:top w:w="0" w:type="dxa"/>
              <w:right w:w="108" w:type="dxa"/>
              <w:bottom w:w="0" w:type="dxa"/>
            </w:tcMar>
            <w:tcW w:w="1064"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32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各投标人价格得分=最低报价（投标人的最低评审价格）÷各投标人评审价格×30（得分四舍五入保留小数点后2位）</w:t>
            </w:r>
            <w:r>
              <w:rPr>
                <w:rFonts w:hint="eastAsia" w:ascii="宋体" w:hAnsi="宋体" w:eastAsia="宋体" w:cs="宋体"/>
                <w:color w:val="auto"/>
                <w:sz w:val="24"/>
                <w:szCs w:val="24"/>
                <w:lang w:eastAsia="zh-CN"/>
              </w:rPr>
              <w:t xml:space="preserve">。</w:t>
            </w:r>
            <w:r/>
          </w:p>
        </w:tc>
      </w:tr>
      <w:tr>
        <w:trPr>
          <w:jc w:val="center"/>
          <w:trHeight w:val="2283"/>
        </w:trPr>
        <w:tc>
          <w:tcPr>
            <w:tcMar>
              <w:left w:w="108" w:type="dxa"/>
              <w:top w:w="0" w:type="dxa"/>
              <w:right w:w="108" w:type="dxa"/>
              <w:bottom w:w="0" w:type="dxa"/>
            </w:tcMar>
            <w:tcW w:w="1064" w:type="dxa"/>
            <w:vAlign w:val="center"/>
            <w:vMerge w:val="restart"/>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66</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所投产品的技术规格（</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328" w:type="dxa"/>
            <w:vAlign w:val="center"/>
            <w:textDirection w:val="lrTb"/>
            <w:noWrap w:val="false"/>
          </w:tcPr>
          <w:p>
            <w:pPr>
              <w:ind w:left="0" w:right="0" w:firstLine="0"/>
              <w:jc w:val="left"/>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完全符合招标文件中“采购清单及参数要求”响应指标，满足要求的得满分2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带“▲”条款，每负偏离一条扣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分；非加“▲”条款，每负偏离一条扣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分，扣完为止。</w:t>
            </w:r>
            <w:r/>
          </w:p>
          <w:p>
            <w:pPr>
              <w:ind w:left="0" w:right="0" w:firstLine="0"/>
              <w:jc w:val="left"/>
              <w:keepLines w:val="0"/>
              <w:keepNext w:val="0"/>
              <w:pageBreakBefore w:val="0"/>
              <w:spacing w:before="0" w:after="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br/>
            </w:r>
            <w:r>
              <w:rPr>
                <w:rFonts w:hint="eastAsia" w:ascii="宋体" w:hAnsi="宋体" w:eastAsia="宋体" w:cs="宋体"/>
                <w:b/>
                <w:bCs/>
                <w:color w:val="auto"/>
                <w:sz w:val="24"/>
                <w:szCs w:val="24"/>
              </w:rPr>
              <w:t xml:space="preserve">注：项目参数、技术参数和相关要求</w:t>
            </w:r>
            <w:r>
              <w:rPr>
                <w:rFonts w:hint="eastAsia" w:ascii="宋体" w:hAnsi="宋体" w:eastAsia="宋体" w:cs="宋体"/>
                <w:b/>
                <w:bCs/>
                <w:color w:val="auto"/>
                <w:sz w:val="24"/>
                <w:szCs w:val="24"/>
                <w:lang w:val="en-US" w:eastAsia="zh-CN"/>
              </w:rPr>
              <w:t xml:space="preserve">的</w:t>
            </w:r>
            <w:r>
              <w:rPr>
                <w:rFonts w:hint="eastAsia" w:ascii="宋体" w:hAnsi="宋体" w:eastAsia="宋体" w:cs="宋体"/>
                <w:b/>
                <w:bCs/>
                <w:color w:val="auto"/>
                <w:sz w:val="24"/>
                <w:szCs w:val="24"/>
              </w:rPr>
              <w:t xml:space="preserve">响应情况需如实填写，不得虚假响应，否则视为提供虚假材料谋取中标。</w:t>
            </w:r>
            <w:r/>
          </w:p>
        </w:tc>
      </w:tr>
      <w:tr>
        <w:trPr>
          <w:jc w:val="center"/>
        </w:trPr>
        <w:tc>
          <w:tcPr>
            <w:tcW w:w="106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08" w:type="dxa"/>
              <w:top w:w="0" w:type="dxa"/>
              <w:right w:w="108" w:type="dxa"/>
              <w:bottom w:w="0" w:type="dxa"/>
            </w:tcMa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项目实施方案（</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328" w:type="dxa"/>
            <w:vAlign w:val="center"/>
            <w:textDirection w:val="lrTb"/>
            <w:noWrap w:val="false"/>
          </w:tcPr>
          <w:p>
            <w:pPr>
              <w:ind w:left="0" w:right="0" w:firstLine="0"/>
              <w:jc w:val="left"/>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实施方案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包括但不限于安装方案、进度安排、设备使用维护</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p>
          <w:p>
            <w:pPr>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tc>
      </w:tr>
      <w:tr>
        <w:trPr>
          <w:jc w:val="center"/>
        </w:trPr>
        <w:tc>
          <w:tcPr>
            <w:tcW w:w="106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08" w:type="dxa"/>
              <w:top w:w="0" w:type="dxa"/>
              <w:right w:w="108" w:type="dxa"/>
              <w:bottom w:w="0" w:type="dxa"/>
            </w:tcMa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验收方案（</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32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验收方案的全面性、针对性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p>
          <w:p>
            <w:pPr>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jc w:val="left"/>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tc>
      </w:tr>
      <w:tr>
        <w:trPr>
          <w:jc w:val="center"/>
          <w:trHeight w:val="259"/>
        </w:trPr>
        <w:tc>
          <w:tcPr>
            <w:tcMar>
              <w:left w:w="108" w:type="dxa"/>
              <w:top w:w="0" w:type="dxa"/>
              <w:right w:w="108" w:type="dxa"/>
              <w:bottom w:w="0" w:type="dxa"/>
            </w:tcMar>
            <w:tcW w:w="1064" w:type="dxa"/>
            <w:vAlign w:val="center"/>
            <w:vMerge w:val="continue"/>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售后服务方案</w:t>
            </w:r>
            <w:r/>
          </w:p>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32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包括但不限于售后人员、维修响应时间及</w:t>
            </w:r>
            <w:r>
              <w:rPr>
                <w:rFonts w:hint="eastAsia" w:ascii="宋体" w:hAnsi="宋体" w:eastAsia="宋体" w:cs="宋体"/>
                <w:color w:val="auto"/>
                <w:sz w:val="24"/>
                <w:szCs w:val="24"/>
                <w:lang w:val="en-US" w:eastAsia="zh-CN"/>
              </w:rPr>
              <w:t xml:space="preserve">其他</w:t>
            </w:r>
            <w:r>
              <w:rPr>
                <w:rFonts w:hint="eastAsia" w:ascii="宋体" w:hAnsi="宋体" w:eastAsia="宋体" w:cs="宋体"/>
                <w:color w:val="auto"/>
                <w:sz w:val="24"/>
                <w:szCs w:val="24"/>
              </w:rPr>
              <w:t xml:space="preserve">优惠条件等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p>
          <w:p>
            <w:pPr>
              <w:keepLines w:val="0"/>
              <w:keepNext w:val="0"/>
              <w:pageBreakBefore w:val="0"/>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全面性（4分）：全面具体得4分；较全面具体得3分；不太全面得1分；不提供不得分。</w:t>
            </w:r>
            <w:r/>
          </w:p>
          <w:p>
            <w:pPr>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培训方案（</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32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培训方案（包括但不限于培训内容、培训计划、培训团队、培训时间等）的全面性、针对性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rPr>
                <w:rFonts w:hint="eastAsia" w:ascii="宋体" w:hAnsi="宋体" w:eastAsia="宋体" w:cs="宋体"/>
                <w:color w:val="auto"/>
                <w:sz w:val="24"/>
                <w:szCs w:val="24"/>
                <w:lang w:eastAsia="zh-CN"/>
              </w:rPr>
              <w:t xml:space="preserve">。</w:t>
            </w:r>
            <w:r/>
          </w:p>
          <w:p>
            <w:pPr>
              <w:keepLines w:val="0"/>
              <w:keepNext w:val="0"/>
              <w:pageBreakBefore w:val="0"/>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全面性（4分）：全面具体得4分；较全面具体得3分；不太全面得1分；不提供不得分。</w:t>
            </w:r>
            <w:r/>
          </w:p>
          <w:p>
            <w:pPr>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商务部分（</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1170"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32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投标文件中提供投标人为卖方(乙方)，合同签订日期在2022年1月1日之后，合同标的为投标人所投产品类似业绩合同的，</w:t>
            </w:r>
            <w:r>
              <w:rPr>
                <w:rFonts w:hint="eastAsia" w:ascii="宋体" w:hAnsi="宋体" w:eastAsia="宋体" w:cs="宋体"/>
                <w:color w:val="auto"/>
                <w:sz w:val="24"/>
                <w:szCs w:val="24"/>
              </w:rPr>
              <w:t xml:space="preserve">每提供一份得2分。该项最高得4分。</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时间以合同签订时间为准，投标文件中同时提供合同原件扫描件并加盖电子签章，不提供或提供内容模糊不清该项不得分。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43"/>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10"/>
        <w:rPr>
          <w:color w:val="auto"/>
        </w:rPr>
      </w:pPr>
      <w:r/>
      <w:bookmarkStart w:id="11" w:name="_Toc3146"/>
      <w:r/>
      <w:bookmarkStart w:id="12" w:name="_Toc522790134"/>
      <w:r/>
      <w:bookmarkStart w:id="13" w:name="_Toc523404699"/>
      <w:r/>
      <w:bookmarkStart w:id="14" w:name="_Toc523404700"/>
      <w:r/>
      <w:bookmarkStart w:id="15" w:name="_Toc522790135"/>
      <w:r>
        <w:rPr>
          <w:rFonts w:hint="eastAsia"/>
          <w:color w:val="auto"/>
        </w:rPr>
        <w:t xml:space="preserve">第五章  拟签订的合同文本</w:t>
      </w:r>
      <w:bookmarkEnd w:id="11"/>
      <w:r/>
      <w:bookmarkEnd w:id="12"/>
      <w:r/>
      <w:bookmarkEnd w:id="13"/>
      <w:r/>
      <w:r/>
    </w:p>
    <w:p>
      <w:pPr>
        <w:pStyle w:val="822"/>
        <w:rPr>
          <w:rFonts w:ascii="宋体" w:hAnsi="宋体" w:cs="宋体"/>
          <w:color w:val="auto"/>
          <w:sz w:val="28"/>
          <w:szCs w:val="28"/>
        </w:rPr>
      </w:pPr>
      <w:r>
        <w:rPr>
          <w:rFonts w:ascii="宋体" w:hAnsi="宋体" w:cs="宋体"/>
          <w:color w:val="auto"/>
          <w:sz w:val="28"/>
          <w:szCs w:val="28"/>
        </w:rPr>
      </w:r>
      <w:r/>
    </w:p>
    <w:p>
      <w:pPr>
        <w:pStyle w:val="822"/>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822"/>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pStyle w:val="1011"/>
        <w:ind w:left="0" w:firstLine="0"/>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44"/>
          <w:szCs w:val="16"/>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 </w:t>
      </w:r>
      <w:r>
        <w:rPr>
          <w:rFonts w:hint="eastAsia" w:ascii="宋体" w:hAnsi="宋体" w:cs="宋体"/>
          <w:color w:val="auto"/>
          <w:sz w:val="44"/>
          <w:szCs w:val="16"/>
          <w:lang w:eastAsia="zh-CN"/>
        </w:rPr>
        <w:t xml:space="preserve">徐州市铜山区棠张镇卫生院口腔CT</w:t>
      </w:r>
      <w:r/>
    </w:p>
    <w:p>
      <w:pPr>
        <w:jc w:val="center"/>
        <w:spacing w:before="240" w:after="240"/>
        <w:rPr>
          <w:rFonts w:hint="eastAsia" w:ascii="宋体" w:hAnsi="宋体" w:cs="宋体"/>
          <w:color w:val="auto"/>
          <w:sz w:val="44"/>
          <w:szCs w:val="16"/>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4"/>
          <w:szCs w:val="16"/>
          <w:lang w:eastAsia="zh-CN"/>
        </w:rPr>
        <w:t xml:space="preserve">合同</w:t>
      </w:r>
      <w:r/>
    </w:p>
    <w:p>
      <w:pPr>
        <w:pStyle w:val="999"/>
        <w:rPr>
          <w:rFonts w:ascii="仿宋" w:hAnsi="仿宋" w:eastAsia="仿宋" w:cs="Arial"/>
          <w:color w:val="auto"/>
          <w:sz w:val="30"/>
          <w:szCs w:val="30"/>
        </w:rPr>
      </w:pPr>
      <w:r>
        <w:rPr>
          <w:rFonts w:ascii="仿宋" w:hAnsi="仿宋" w:eastAsia="仿宋" w:cs="Arial"/>
          <w:color w:val="auto"/>
          <w:sz w:val="30"/>
          <w:szCs w:val="30"/>
        </w:rPr>
      </w:r>
      <w:r/>
    </w:p>
    <w:p>
      <w:pPr>
        <w:pStyle w:val="999"/>
        <w:rPr>
          <w:rFonts w:ascii="仿宋" w:hAnsi="仿宋" w:eastAsia="仿宋" w:cs="Arial"/>
          <w:color w:val="auto"/>
          <w:sz w:val="30"/>
          <w:szCs w:val="30"/>
        </w:rPr>
      </w:pPr>
      <w:r>
        <w:rPr>
          <w:rFonts w:ascii="仿宋" w:hAnsi="仿宋" w:eastAsia="仿宋" w:cs="Arial"/>
          <w:color w:val="auto"/>
          <w:sz w:val="30"/>
          <w:szCs w:val="30"/>
        </w:rPr>
      </w:r>
      <w:r/>
    </w:p>
    <w:p>
      <w:pPr>
        <w:pStyle w:val="1011"/>
        <w:rPr>
          <w:color w:val="auto"/>
        </w:rPr>
      </w:pPr>
      <w:r>
        <w:rPr>
          <w:color w:val="auto"/>
        </w:rPr>
      </w:r>
      <w:r/>
    </w:p>
    <w:p>
      <w:pPr>
        <w:pStyle w:val="822"/>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采  购  人：</w:t>
      </w:r>
      <w:r/>
    </w:p>
    <w:p>
      <w:pPr>
        <w:pStyle w:val="822"/>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成交供应商：</w:t>
      </w:r>
      <w:r/>
    </w:p>
    <w:p>
      <w:pPr>
        <w:pStyle w:val="822"/>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合同签订日期： 年 月 日</w:t>
      </w:r>
      <w:r/>
    </w:p>
    <w:p>
      <w:pPr>
        <w:pStyle w:val="999"/>
        <w:rPr>
          <w:rFonts w:ascii="仿宋" w:hAnsi="仿宋" w:eastAsia="仿宋" w:cs="Arial"/>
          <w:color w:val="auto"/>
          <w:sz w:val="30"/>
          <w:szCs w:val="30"/>
        </w:rPr>
      </w:pPr>
      <w:r>
        <w:rPr>
          <w:rFonts w:ascii="仿宋" w:hAnsi="仿宋" w:eastAsia="仿宋" w:cs="Arial"/>
          <w:color w:val="auto"/>
          <w:sz w:val="30"/>
          <w:szCs w:val="30"/>
        </w:rPr>
      </w:r>
      <w:r/>
    </w:p>
    <w:p>
      <w:pPr>
        <w:pStyle w:val="1011"/>
        <w:rPr>
          <w:rFonts w:ascii="仿宋" w:hAnsi="仿宋" w:eastAsia="仿宋" w:cs="Arial"/>
          <w:color w:val="auto"/>
          <w:sz w:val="30"/>
          <w:szCs w:val="30"/>
        </w:rPr>
      </w:pPr>
      <w:r>
        <w:rPr>
          <w:rFonts w:ascii="仿宋" w:hAnsi="仿宋" w:eastAsia="仿宋" w:cs="Arial"/>
          <w:color w:val="auto"/>
          <w:sz w:val="30"/>
          <w:szCs w:val="30"/>
        </w:rPr>
      </w:r>
      <w:r/>
    </w:p>
    <w:p>
      <w:pPr>
        <w:pStyle w:val="1013"/>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br w:type="page" w:clear="all"/>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合同通用条款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卖方应按下列规定交付合同标的：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.1卖方负责将合同标的送至《合同专用条款》规定的交货地点。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.2买方出具的收据日期是合同标的的实际交货日期。</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合同专用条款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“买方”为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“卖方”为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“工作现场”为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“合同货币”即</w:t>
      </w:r>
      <w:r>
        <w:rPr>
          <w:rFonts w:hint="eastAsia" w:ascii="宋体" w:hAnsi="宋体" w:eastAsia="宋体" w:cs="宋体"/>
          <w:color w:val="auto"/>
          <w:sz w:val="24"/>
          <w:highlight w:val="none"/>
          <w:u w:val="single"/>
        </w:rPr>
        <w:t xml:space="preserve">人民币</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2.1买方同意从卖方购买、卖方同意向买方出售的合</w:t>
      </w:r>
      <w:r>
        <w:rPr>
          <w:rFonts w:hint="eastAsia" w:ascii="宋体" w:hAnsi="宋体" w:eastAsia="宋体" w:cs="宋体"/>
          <w:color w:val="auto"/>
          <w:sz w:val="24"/>
          <w:szCs w:val="24"/>
          <w:highlight w:val="none"/>
        </w:rPr>
        <w:t xml:space="preserve">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left="0" w:right="0" w:firstLine="600"/>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本项目选择</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种</w:t>
      </w:r>
      <w:r>
        <w:rPr>
          <w:rFonts w:ascii="宋体" w:hAnsi="宋体" w:eastAsia="宋体" w:cs="宋体"/>
          <w:color w:val="auto"/>
          <w:sz w:val="24"/>
          <w:szCs w:val="24"/>
          <w:highlight w:val="none"/>
          <w:u w:val="none"/>
        </w:rPr>
        <w:t xml:space="preserve">付</w:t>
      </w:r>
      <w:r>
        <w:rPr>
          <w:rFonts w:ascii="宋体" w:hAnsi="宋体" w:eastAsia="宋体" w:cs="宋体"/>
          <w:color w:val="auto"/>
          <w:sz w:val="24"/>
          <w:szCs w:val="24"/>
          <w:highlight w:val="none"/>
        </w:rPr>
        <w:t xml:space="preserve">款方式：</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百分之四十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40%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元整，在双方签订合同15日内，乙方向甲方出具等额预付款保函后，办理政府采购资金结算手续支付给乙方。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百分之六十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60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买方签署验收合格报告</w:t>
      </w:r>
      <w:r>
        <w:rPr>
          <w:rFonts w:ascii="宋体" w:hAnsi="宋体" w:eastAsia="宋体" w:cs="宋体"/>
          <w:color w:val="auto"/>
          <w:sz w:val="24"/>
          <w:szCs w:val="24"/>
          <w:highlight w:val="none"/>
        </w:rPr>
        <w:t xml:space="preserve">。</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付款方式二：不提交预付款保函的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none"/>
        </w:rPr>
        <w:t xml:space="preserve">百分之三十(30%)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none"/>
        </w:rPr>
        <w:t xml:space="preserve">百分之七十(70%)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买方签署验收合格报告</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5.3卖方应在不迟于每批合同标的备妥待运前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日通知买方。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5.5如果卖方未能按照合同规定的交货期限交货，卖方应按每天迟交合同标的金额的</w:t>
      </w:r>
      <w:r>
        <w:rPr>
          <w:rFonts w:hint="eastAsia" w:ascii="宋体" w:hAnsi="宋体" w:eastAsia="宋体" w:cs="宋体"/>
          <w:color w:val="auto"/>
          <w:sz w:val="24"/>
          <w:highlight w:val="none"/>
          <w:u w:val="single"/>
        </w:rPr>
        <w:t xml:space="preserve">百分之一(1%)</w:t>
      </w:r>
      <w:r>
        <w:rPr>
          <w:rFonts w:hint="eastAsia" w:ascii="宋体" w:hAnsi="宋体" w:eastAsia="宋体" w:cs="宋体"/>
          <w:color w:val="auto"/>
          <w:sz w:val="24"/>
          <w:highlight w:val="none"/>
        </w:rPr>
        <w:t xml:space="preserve">的比率支付违约金。违约金的总金额不超过合同总价的</w:t>
      </w:r>
      <w:r>
        <w:rPr>
          <w:rFonts w:hint="eastAsia" w:ascii="宋体" w:hAnsi="宋体" w:eastAsia="宋体" w:cs="宋体"/>
          <w:color w:val="auto"/>
          <w:sz w:val="24"/>
          <w:highlight w:val="none"/>
          <w:u w:val="single"/>
        </w:rPr>
        <w:t xml:space="preserve">百分之十(10%) </w:t>
      </w:r>
      <w:r>
        <w:rPr>
          <w:rFonts w:hint="eastAsia" w:ascii="宋体" w:hAnsi="宋体" w:eastAsia="宋体" w:cs="宋体"/>
          <w:color w:val="auto"/>
          <w:sz w:val="24"/>
          <w:highlight w:val="none"/>
        </w:rPr>
        <w:t xml:space="preserve">，违约金的支付不能免除卖方继续交付相关合同标的的义务。</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如果卖方在合同规定的交货期限后</w:t>
      </w:r>
      <w:r>
        <w:rPr>
          <w:rFonts w:hint="eastAsia" w:ascii="宋体" w:hAnsi="宋体" w:eastAsia="宋体" w:cs="宋体"/>
          <w:color w:val="auto"/>
          <w:sz w:val="24"/>
          <w:highlight w:val="none"/>
          <w:u w:val="single"/>
        </w:rPr>
        <w:t xml:space="preserve">十</w:t>
      </w:r>
      <w:r>
        <w:rPr>
          <w:rFonts w:hint="eastAsia" w:ascii="宋体" w:hAnsi="宋体" w:eastAsia="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技术资料随合同标的同时交付给买方。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合同验收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9.1验收时间：预计202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年1月</w:t>
      </w:r>
      <w:r>
        <w:rPr>
          <w:rFonts w:hint="eastAsia" w:ascii="宋体" w:hAnsi="宋体" w:cs="宋体"/>
          <w:color w:val="auto"/>
          <w:sz w:val="24"/>
          <w:highlight w:val="none"/>
          <w:lang w:val="en-US" w:eastAsia="zh-CN"/>
        </w:rPr>
        <w:t xml:space="preserve">上旬</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9.2验收地点：徐州市铜山区棠张镇卫生院。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9.3验收方式：由买方组织相关验收小组人员和卖方共同现场进行验收。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9.4验收内容：对口腔CT</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验收，1、产品配置必须原厂出厂时全部自带，所有设备外包装箱（盒）不得自行拆封，包装箱（盒）上所有标签等不得涂改或撕毁，否则买方有权拒绝验收；2、货物到达现场（买方指定地点）后，卖方应提供详细的发货清单、有关测试报告、制造厂家出具的产品合格证书，,提供有关货物的操作规程和使用说明书，维护手册、保养修理所需的各种随机工具及相关设计、制造、检验、安装、技术性指导等文件和应由</w:t>
      </w:r>
      <w:r>
        <w:rPr>
          <w:rFonts w:hint="eastAsia" w:ascii="宋体" w:hAnsi="宋体" w:cs="宋体"/>
          <w:color w:val="auto"/>
          <w:sz w:val="24"/>
          <w:highlight w:val="none"/>
          <w:lang w:val="en-US" w:eastAsia="zh-CN"/>
        </w:rPr>
        <w:t xml:space="preserve">卖方</w:t>
      </w:r>
      <w:r>
        <w:rPr>
          <w:rFonts w:hint="eastAsia" w:ascii="宋体" w:hAnsi="宋体" w:eastAsia="宋体" w:cs="宋体"/>
          <w:color w:val="auto"/>
          <w:sz w:val="24"/>
          <w:highlight w:val="none"/>
        </w:rPr>
        <w:t xml:space="preserve">提供的必要文件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买方和卖方共同打开包装验货、检查货物数量、质量。如果货物数量、质量或技术规格与要求不符，或货物有明显损坏，买方有权提出索赔；3、买方在验收中发现产品达不到验收标准或合同规定的性能指标，卖方必须更换，并且赔偿由此给买方造成的损失。</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9.5验收标准：按照国家规定标准验收，没有国家标准的按行业标准验收，无行业标准的按地方或企业标准验收。验货合格后，双方共同签署验收合格证明。</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应按采购文件规定的货物性能、技术要求、质量标准向</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提供未经使用的全新产品。</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10.3</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提供的货物质保期具体以投标文件为准且不得低于</w:t>
      </w:r>
      <w:r>
        <w:rPr>
          <w:rFonts w:hint="eastAsia" w:ascii="宋体" w:hAnsi="宋体" w:eastAsia="宋体" w:cs="宋体"/>
          <w:color w:val="auto"/>
          <w:sz w:val="24"/>
          <w:highlight w:val="none"/>
          <w:lang w:val="en-US" w:eastAsia="zh-CN"/>
        </w:rPr>
        <w:t xml:space="preserve">招标文件要求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提供的货物在质保期内因货物本身的质量问题发生故障，</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应负责免费更换。对超过质保期发生故障的货物，</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应当负责维修并按照成本价收取零配件费用。对达不到技术要求者，根据实际情况，经双方协商，可按以下办法处理：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更换：由</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承担所发生的全部费用。</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退货处理：</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应退还</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支付的合同款，同时应承担该货物的直接费用（运输、保险、检验）。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10.4</w:t>
      </w:r>
      <w:r>
        <w:rPr>
          <w:rFonts w:hint="eastAsia" w:ascii="宋体" w:hAnsi="宋体" w:eastAsia="宋体" w:cs="宋体"/>
          <w:color w:val="auto"/>
          <w:sz w:val="24"/>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11.1买方有权选择本条款规定的任意或全部救济方式。</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13.1如果卖方有下述违约行为，买方可以全部或部分地终止合同：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卖方在合同规定的交货期限后</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日内仍未能对其违约行为作出补救。</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14.1如果不能协商一致，合同任何一方有权向买方所在地人民法院提起诉讼。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keepLines w:val="0"/>
        <w:keepNext w:val="0"/>
        <w:pageBreakBefore w:val="0"/>
        <w:spacing w:line="360" w:lineRule="exact"/>
        <w:widowControl w:val="off"/>
        <w:tabs>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18.12 合同双方的通讯地址：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合同附件1：合同协议书</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合同附件2：技术规格和技术性能</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合同附件3：售后服务和技术培训</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合同附件4：供货范围和价格清单</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(要求见招标文件第七章《投标文件相关格式》中《开标一览表》和《分项价格表》；合同见卖方投标文件。)</w:t>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1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（买方名称）（以下简称“买方”）已接受</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徐州市铜山区棠张镇卫生院口腔CT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u w:val="single"/>
          <w:lang w:eastAsia="zh-CN"/>
        </w:rPr>
        <w:t xml:space="preserve">JSZC-320312-CCZB-G2025-0004</w:t>
      </w:r>
      <w:r>
        <w:rPr>
          <w:rFonts w:hint="eastAsia" w:ascii="宋体" w:hAnsi="宋体" w:eastAsia="宋体" w:cs="宋体"/>
          <w:color w:val="auto"/>
          <w:sz w:val="24"/>
          <w:highlight w:val="none"/>
        </w:rPr>
        <w:t xml:space="preserve">]的投标。买方和卖方共同达成如下协议。</w:t>
      </w:r>
      <w:r/>
    </w:p>
    <w:p>
      <w:pPr>
        <w:numPr>
          <w:ilvl w:val="0"/>
          <w:numId w:val="1"/>
        </w:num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买方收到卖方提交的履约保证金：</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 </w:t>
      </w:r>
      <w:r>
        <w:rPr>
          <w:rFonts w:ascii="宋体" w:hAnsi="宋体" w:eastAsia="宋体" w:cs="宋体"/>
          <w:color w:val="auto"/>
          <w:sz w:val="24"/>
          <w:szCs w:val="24"/>
          <w:highlight w:val="none"/>
        </w:rPr>
        <w:t xml:space="preserve">合同一式</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份，具有同等法律效力，买方</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份，卖方</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份，政府采购管理部门一份备案</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lang w:eastAsia="zh-CN"/>
        </w:rPr>
        <w:t xml:space="preserve">JSZC-320312-CCZB-G2025-0004</w:t>
      </w:r>
      <w:r>
        <w:rPr>
          <w:rFonts w:hint="eastAsia" w:ascii="宋体" w:hAnsi="宋体" w:eastAsia="宋体" w:cs="宋体"/>
          <w:color w:val="auto"/>
          <w:sz w:val="24"/>
          <w:highlight w:val="none"/>
        </w:rPr>
        <w:t xml:space="preserve">]为准。</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买方（公章）：____________________________________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ind w:firstLine="3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卖方（公章）： 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rPr>
          <w:rFonts w:ascii="宋体" w:hAnsi="宋体" w:cs="宋体"/>
          <w:b/>
          <w:bCs/>
          <w:color w:val="auto"/>
          <w:sz w:val="30"/>
          <w:szCs w:val="44"/>
        </w:rPr>
      </w:pPr>
      <w:r>
        <w:rPr>
          <w:rFonts w:hint="eastAsia" w:ascii="宋体" w:hAnsi="宋体" w:cs="宋体"/>
          <w:b/>
          <w:bCs/>
          <w:color w:val="auto"/>
          <w:sz w:val="30"/>
          <w:szCs w:val="44"/>
        </w:rPr>
        <w:br w:type="page" w:clear="all"/>
      </w:r>
      <w:r/>
    </w:p>
    <w:p>
      <w:pPr>
        <w:pStyle w:val="807"/>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4"/>
      <w:r/>
      <w:bookmarkEnd w:id="15"/>
      <w:r/>
      <w:bookmarkStart w:id="16" w:name="_Toc523404701"/>
      <w:r/>
      <w:bookmarkStart w:id="17" w:name="_Toc522790136"/>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一、说明</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徐州市铜山区棠张镇卫生院口腔CT</w:t>
      </w:r>
      <w:r>
        <w:rPr>
          <w:rFonts w:hint="eastAsia" w:ascii="宋体" w:hAnsi="宋体" w:eastAsia="宋体" w:cs="宋体"/>
          <w:color w:val="auto"/>
          <w:sz w:val="24"/>
          <w:szCs w:val="24"/>
        </w:rPr>
        <w:t xml:space="preserve">项目。</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ind w:left="0" w:right="0" w:firstLine="48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3、本项目的核心产品为：口腔CT。</w:t>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二、采购项目预算金额</w:t>
      </w:r>
      <w:r/>
    </w:p>
    <w:p>
      <w:pPr>
        <w:ind w:left="0" w:right="0" w:firstLine="480"/>
        <w:pageBreakBefore w:val="0"/>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本项目不接受超过50万元人民币（采购项目预算金额）的投标报价。</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报价含招标文件所确定的招标范围内的全部内容，以及为完成上述内容所需的全部费用，其报价包括但不限于产品的价格、安装、调试、劳务、管理、材料、税金、运费、保险、售后服务、供应商的利润等全部费用。采购人不再支付报价以外的任何费用</w:t>
      </w:r>
      <w:r>
        <w:rPr>
          <w:rFonts w:hint="eastAsia" w:ascii="宋体" w:hAnsi="宋体" w:eastAsia="宋体" w:cs="宋体"/>
          <w:color w:val="auto"/>
          <w:sz w:val="24"/>
          <w:szCs w:val="24"/>
        </w:rPr>
        <w:t xml:space="preserve">。</w:t>
      </w:r>
      <w:r/>
    </w:p>
    <w:p>
      <w:pPr>
        <w:numPr>
          <w:ilvl w:val="0"/>
          <w:numId w:val="0"/>
        </w:numPr>
        <w:ind w:left="0" w:right="0" w:firstLine="482"/>
        <w:pageBreakBefore w:val="0"/>
        <w:spacing w:line="360" w:lineRule="auto"/>
        <w:rPr>
          <w:rFonts w:hint="eastAsia" w:ascii="宋体" w:hAnsi="宋体" w:eastAsia="宋体" w:cs="宋体"/>
          <w:b/>
          <w:bCs/>
          <w:color w:val="auto"/>
          <w:sz w:val="24"/>
          <w:szCs w:val="24"/>
          <w:lang w:val="en-US" w:eastAsia="zh-CN" w:bidi="ar-SA"/>
        </w:rPr>
        <w:outlineLvl w:val="0"/>
      </w:pPr>
      <w:r>
        <w:rPr>
          <w:rFonts w:hint="eastAsia" w:ascii="宋体" w:hAnsi="宋体" w:eastAsia="宋体" w:cs="宋体"/>
          <w:b/>
          <w:bCs/>
          <w:color w:val="auto"/>
          <w:sz w:val="24"/>
          <w:szCs w:val="24"/>
          <w:lang w:val="en-US" w:eastAsia="zh-CN" w:bidi="ar-SA"/>
        </w:rPr>
        <w:t xml:space="preserve">三、</w:t>
      </w:r>
      <w:r>
        <w:rPr>
          <w:rFonts w:hint="eastAsia" w:ascii="宋体" w:hAnsi="宋体" w:cs="宋体"/>
          <w:b/>
          <w:bCs/>
          <w:color w:val="auto"/>
          <w:sz w:val="24"/>
          <w:szCs w:val="24"/>
          <w:lang w:val="en-US" w:eastAsia="zh-CN" w:bidi="ar-SA"/>
        </w:rPr>
        <w:t xml:space="preserve">采购清单及参数要求</w:t>
      </w:r>
      <w:r/>
    </w:p>
    <w:tbl>
      <w:tblPr>
        <w:tblStyle w:val="844"/>
        <w:tblW w:w="0" w:type="auto"/>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25"/>
        <w:gridCol w:w="737"/>
        <w:gridCol w:w="5872"/>
      </w:tblGrid>
      <w:tr>
        <w:trPr>
          <w:trHeight w:val="560"/>
        </w:trPr>
        <w:tc>
          <w:tcPr>
            <w:tcW w:w="72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序号</w:t>
            </w:r>
            <w:r/>
          </w:p>
        </w:tc>
        <w:tc>
          <w:tcPr>
            <w:tcW w:w="82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名称</w:t>
            </w:r>
            <w:r/>
          </w:p>
        </w:tc>
        <w:tc>
          <w:tcPr>
            <w:tcW w:w="737"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数量</w:t>
            </w:r>
            <w:r/>
          </w:p>
        </w:tc>
        <w:tc>
          <w:tcPr>
            <w:tcW w:w="5872"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z w:val="24"/>
                <w:szCs w:val="24"/>
                <w:lang w:val="en-US" w:eastAsia="zh-CN" w:bidi="ar-SA"/>
              </w:rPr>
              <w:t xml:space="preserve">技术参数要求</w:t>
            </w:r>
            <w:r/>
          </w:p>
        </w:tc>
      </w:tr>
      <w:tr>
        <w:trPr/>
        <w:tc>
          <w:tcPr>
            <w:tcW w:w="72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w:t>
            </w:r>
            <w:r/>
          </w:p>
        </w:tc>
        <w:tc>
          <w:tcPr>
            <w:tcW w:w="82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口腔颌面锥形束体层摄影设备</w:t>
            </w:r>
            <w:r/>
          </w:p>
        </w:tc>
        <w:tc>
          <w:tcPr>
            <w:tcW w:w="737" w:type="dxa"/>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1套</w:t>
            </w:r>
            <w:r/>
          </w:p>
        </w:tc>
        <w:tc>
          <w:tcPr>
            <w:tcW w:w="5872" w:type="dxa"/>
            <w:textDirection w:val="lrTb"/>
            <w:noWrap w:val="false"/>
          </w:tcPr>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1.扫描支架系统</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CT平板探测器类型：碘化铯＋非晶硅TFT；</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探测器有效成像区域：≧204.8mm×204.8mm；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1.3</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探测器像素大小：≦100um×100um；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1.4</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探测器输出数据灰阶：≧16bit；</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1.5</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数据传输速度：≧1.0GB/s；</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1.6</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最小重建体素：≦50um。</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2.侧位支架系统</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2.1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头侧探测器类型：CsI+CMOS+TFT；</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2.2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探测器像素大小：≦100um；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2.3</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探测器输出数据灰阶：≧16bit；</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2.4</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数据传输速度：≧1.0GB/s；</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3.</w:t>
            </w:r>
            <w:r>
              <w:rPr>
                <w:rFonts w:hint="eastAsia" w:ascii="宋体" w:hAnsi="宋体" w:cs="宋体"/>
                <w:b/>
                <w:bCs/>
                <w:color w:val="auto"/>
                <w:spacing w:val="1"/>
                <w:sz w:val="24"/>
                <w:szCs w:val="24"/>
                <w:vertAlign w:val="baseline"/>
                <w:lang w:val="en-US" w:eastAsia="zh-CN"/>
              </w:rPr>
              <w:t xml:space="preserve"> </w:t>
            </w:r>
            <w:r>
              <w:rPr>
                <w:rFonts w:hint="eastAsia" w:ascii="宋体" w:hAnsi="宋体" w:eastAsia="宋体" w:cs="宋体"/>
                <w:b/>
                <w:bCs/>
                <w:color w:val="auto"/>
                <w:spacing w:val="1"/>
                <w:sz w:val="24"/>
                <w:szCs w:val="24"/>
                <w:vertAlign w:val="baseline"/>
                <w:lang w:val="en-US" w:eastAsia="zh-CN"/>
              </w:rPr>
              <w:t xml:space="preserve">X射线源组件</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3.1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类型：脉冲/连续混合模式高压X射线发生器；</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3.2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球管电流：4-10mA；</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3.3</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球管电压：60-100kV；</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3.4</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球管焦点：≦0.5mm*0.5mm。</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4.扫描参数和图像质量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▲4.1</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CT单次扫描非拼接最大视野：≧20cm×14cm。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▲4.2</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CT扫描采集视野范围:可提供包括大视野、中视野、小视野在内的至少5个不同视野，且最小视野不大于5cm×5cm。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4.3</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CT空间分辨率：≧1.5</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4.4</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全景空间分辨率：≧2.5lp/mm；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4.5</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头颅侧位空间分辨率：≧2.0lp/mm；</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▲4.6全景最短扫描时间：≦5s；</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4.7</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头颅侧位最短扫描时间：≦8.4s；</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4.8</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CT最短扫描时间：≦8s；</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4.6</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CT图像信噪比：≦9.0；</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5.工作站</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CPU：≧i5六核；</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内存：≧16GB，DDR4内存；</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5.3</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显卡：独立显卡，显存≧8GB；</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5.4</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硬盘容量：≧2TB，系统盘采用≧256G固态硬盘；</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5.5</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显示器：≧23英寸液晶，分辨率为1920×1080；</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5.6</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CT图像重建时间：≦60秒；</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6.临床应用软件</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支持远程PACS服务器连接，可将设备接入医院现有PACS网络，提供存储、传输、远程打印、查询功能；</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以标准DICOM3.0格式输出图像文件，可与PACS、RIS相连，支持局域网络共享，分机影像查看；</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▲6.3</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具备口腔数字化影像软件和正畸处理软件各一套；</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6.4</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距离测量：可测量直线距离、曲线距离；</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6.5</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角度测量：可进行三点角度测量、四点角度测量；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6.6</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面积测量：可测量任意区域的面积；</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6.7</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连续测量：可测量连续距离；</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6.8</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牙弓线绘制：AI自动绘制牙弓线，生成患者全景图像，可手动调整；</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6.9</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AI神经管绘制：具备手动和全自动标记描绘神经管两种模式，全自动模式可一秒着色呈现，能显示三维重建模型，具备自动检测并标注神经管功能；</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6.10</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AI自动精确进行双侧颞颌关节切片，方便进行双侧关节影像查看，可以任意调节层厚；</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6.11</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骨密度测量分析：单点骨密度测量、线段骨密度测量、区域骨密度测量等多种骨密度测量方式；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6.12</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气道分析功能：可进行3D视角观察气道内部，分析气道情况，快速分割气道，可自动计算容积与最小区域并将患者的气道以色谱形式进行呈现；</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6.13</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局部放大功能：可对感兴趣区域进行局部放大（无需调整图像整体尺寸），定向观察此区域三维影像，便于医患沟通；</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6.14</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图像处理功能：2D/3D图像编辑工具(移动，放大，对比度调节，亮度调节，图像信息)；注释(在图像上自由划线、添加文字、箭头等标记)；</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6.15</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切割功能：可针对三维图像进行任一区域自由切割，获取想要观察区域的三维图像；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6.16</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头位矫正功能：可对患者三维影像进行头位调整，俯仰角度调整，以及面部对称性，可通过此调整获取更清晰的曲面断层影像；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6.17</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VTO功能：可通过更改牙位来改变患者照片的侧貌，形成可视化正畸预览；</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6.18</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内窥镜功能：可以3D视角内窥观察患者神经管、根管内部情况；</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6.19</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金属去伪影校正：降低口腔内金属物或其他高密度物质对CT成像效果的影响，显著提高图像质量；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6.20</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种植体数据库：拥有上百种主流型号种植体，免费升级种植体库，可依据医院需求添加所需要的品牌、系列种植体模型；</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6.21</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虚拟种植：可选择需要的品牌种植体进行虚拟种植，评估种植方案。可在种植体库中选择合适的种植体长度、直径，设计种植体植入位置及植入方向，一键定位种植体中心。可在任意切片图上调节种植体位置，包括曲面断层图；可进行模拟种植，分析种植体区域骨密度分布情况，种植体与下颌神经管的距离预警，种植体的碰撞预警等，安全范围可调节；可模拟牙冠和基台功能，完成以修复为导向的种植模拟。</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6.22</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种植体验证：可设置种植体为观察中心，一键定位，旋转操作轴，方便观察种植体周围，可完成360度的切片影像；调节种植体位置、方向时，相应切片位置跟随变化；</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6.23</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定点观察，可在全景视图中以任意一点为中心，自动展示该位置的轴状面、矢状面、冠状面影像，方便观察；</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6.24</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多平面重建图像：集成化界面，任意位置、任意方向观察患者切片，成像能显示成像轮廓和边缘；MIP（最大密度投影），可以透明观察内部结构；成像模式可一键切换，层厚可以任意调节；可将同一患者所有影像数据融合在同一软件中诊断管理；</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6.25</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三维渲染模式：可自由调整渲染风格进行保存；</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6.26</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STL格式导出：可将CT数据转化为STL格式导出，可选择导出全口STL数据，或者局部STL数据；</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6.27</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多全景模式，可查看MPR全景、VR全景和MIP全景；全景功能具备二维全景片的独立拍摄功能，具备多层全景拍摄功能，自动识别牙弓曲面和牙体生理曲度，自动脊骨补偿，拟合出最佳的全景影像；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6.28</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AI全景片自动诊断系统：可根据患者全景片自动分析患者病灶，识别患者重要解剖结构，一键生成诊断分析报告，提供报告编辑、打印功能；可自定义报告结构支持多种布局选择；患者数据管理及导出：能够增加、编辑、删除患者个人信息；可将患者信息、图像和软件整体导出到光盘和U盘。进行患者病情演变动态模拟，无需联网亦可使用；</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6.29</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AI智能正畸测量分析系统：可一键自动描绘所有正畸点位，一键出具正畸报告功能，支持个性化的测量分析方法，一键生成分析报告，支持诊疗各阶段的轮廓对比，支持可视化矫正模拟，支持骨龄分析、气道分析、正貌分析、侧貌分析等，无需联网亦可使用。</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▲6.30</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三维正畸：具备CT数据模拟头颅正位、侧位功能；单侧头影测量功能，自动分割侧位片中的左右半边图像，再分别进行AI头影测量，减少了结构的重叠。</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6.31</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多模式头颅侧位片：可供选择全幅或半幅的侧位模式，正位模式，以及用于骨龄测量的腕骨位拍摄模式。</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6.32</w:t>
            </w:r>
            <w:r>
              <w:rPr>
                <w:rFonts w:hint="eastAsia" w:ascii="宋体" w:hAnsi="宋体" w:cs="宋体"/>
                <w:color w:val="auto"/>
                <w:spacing w:val="1"/>
                <w:sz w:val="24"/>
                <w:szCs w:val="24"/>
                <w:vertAlign w:val="baseline"/>
                <w:lang w:val="en-US" w:eastAsia="zh-CN"/>
              </w:rPr>
              <w:t xml:space="preserve"> </w:t>
            </w:r>
            <w:r>
              <w:rPr>
                <w:rFonts w:hint="eastAsia" w:ascii="宋体" w:hAnsi="宋体" w:eastAsia="宋体" w:cs="宋体"/>
                <w:color w:val="auto"/>
                <w:spacing w:val="1"/>
                <w:sz w:val="24"/>
                <w:szCs w:val="24"/>
                <w:vertAlign w:val="baseline"/>
                <w:lang w:val="en-US" w:eastAsia="zh-CN"/>
              </w:rPr>
              <w:t xml:space="preserve">CT动态对比功能：在同一界面可对不同时间拍摄的CT片进行任意切面和三维模型动态对比，适用于口腔外科、正颌正畸、颞颌关节的对比诊断。</w:t>
            </w:r>
            <w:r/>
          </w:p>
          <w:p>
            <w:pPr>
              <w:numPr>
                <w:ilvl w:val="0"/>
                <w:numId w:val="0"/>
              </w:numPr>
              <w:ind w:left="0"/>
              <w:keepLines w:val="0"/>
              <w:keepNext w:val="0"/>
              <w:pageBreakBefore w:val="0"/>
              <w:spacing w:line="240" w:lineRule="auto"/>
              <w:rPr>
                <w:rFonts w:hint="eastAsia" w:ascii="宋体" w:hAnsi="宋体" w:eastAsia="宋体" w:cs="宋体"/>
                <w:b/>
                <w:bCs/>
                <w:color w:val="auto"/>
                <w:spacing w:val="1"/>
                <w:sz w:val="24"/>
                <w:szCs w:val="24"/>
                <w:vertAlign w:val="baseline"/>
                <w:lang w:val="en-US" w:eastAsia="zh-CN"/>
              </w:rPr>
            </w:pPr>
            <w:r>
              <w:rPr>
                <w:rFonts w:hint="eastAsia" w:ascii="宋体" w:hAnsi="宋体" w:eastAsia="宋体" w:cs="宋体"/>
                <w:b/>
                <w:bCs/>
                <w:color w:val="auto"/>
                <w:spacing w:val="1"/>
                <w:sz w:val="24"/>
                <w:szCs w:val="24"/>
                <w:vertAlign w:val="baseline"/>
                <w:lang w:val="en-US" w:eastAsia="zh-CN"/>
              </w:rPr>
              <w:t xml:space="preserve">7.结构性能</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7.1</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摆位及扫描：采用侧方开放式摆位，摆位及扫描过程中受检者侧对立柱设计（非面向立柱站立）。使技师可正面观察（非通过镜面反射）定位激光线位置，确保准确定位；</w:t>
            </w:r>
            <w:r/>
          </w:p>
          <w:p>
            <w:pPr>
              <w:numPr>
                <w:ilvl w:val="0"/>
                <w:numId w:val="0"/>
              </w:numPr>
              <w:ind w:left="0"/>
              <w:keepLines w:val="0"/>
              <w:keepNext w:val="0"/>
              <w:pageBreakBefore w:val="0"/>
              <w:spacing w:line="240" w:lineRule="auto"/>
              <w:rPr>
                <w:rFonts w:hint="eastAsia" w:ascii="宋体" w:hAnsi="宋体" w:eastAsia="宋体" w:cs="宋体"/>
                <w:color w:val="auto"/>
                <w:spacing w:val="1"/>
                <w:sz w:val="24"/>
                <w:szCs w:val="24"/>
                <w:vertAlign w:val="baseline"/>
                <w:lang w:val="en-US" w:eastAsia="zh-CN"/>
              </w:rPr>
            </w:pPr>
            <w:r>
              <w:rPr>
                <w:rFonts w:hint="eastAsia" w:ascii="宋体" w:hAnsi="宋体" w:eastAsia="宋体" w:cs="宋体"/>
                <w:color w:val="auto"/>
                <w:spacing w:val="1"/>
                <w:sz w:val="24"/>
                <w:szCs w:val="24"/>
                <w:vertAlign w:val="baseline"/>
                <w:lang w:val="en-US" w:eastAsia="zh-CN"/>
              </w:rPr>
              <w:t xml:space="preserve">7.2</w:t>
            </w:r>
            <w:r>
              <w:rPr>
                <w:rFonts w:hint="eastAsia" w:ascii="宋体" w:hAnsi="宋体" w:eastAsia="宋体" w:cs="宋体"/>
                <w:color w:val="auto"/>
                <w:spacing w:val="1"/>
                <w:sz w:val="24"/>
                <w:szCs w:val="24"/>
                <w:vertAlign w:val="baseline"/>
                <w:lang w:val="en-US" w:eastAsia="zh-CN"/>
              </w:rPr>
              <w:tab/>
            </w:r>
            <w:r>
              <w:rPr>
                <w:rFonts w:hint="eastAsia" w:ascii="宋体" w:hAnsi="宋体" w:eastAsia="宋体" w:cs="宋体"/>
                <w:color w:val="auto"/>
                <w:spacing w:val="1"/>
                <w:sz w:val="24"/>
                <w:szCs w:val="24"/>
                <w:vertAlign w:val="baseline"/>
                <w:lang w:val="en-US" w:eastAsia="zh-CN"/>
              </w:rPr>
              <w:t xml:space="preserve">机架底座：要求U型底座（非X型），更加稳定，方便轮椅患者进入。</w:t>
            </w:r>
            <w:r/>
          </w:p>
        </w:tc>
      </w:tr>
    </w:tbl>
    <w:p>
      <w:pPr>
        <w:ind w:firstLine="424"/>
        <w:keepLines w:val="0"/>
        <w:keepNext w:val="0"/>
        <w:pageBreakBefore w:val="0"/>
        <w:spacing w:after="0" w:line="36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p>
      <w:pPr>
        <w:ind w:left="0" w:right="0" w:firstLine="482"/>
        <w:pageBreakBefore w:val="0"/>
        <w:spacing w:line="360" w:lineRule="auto"/>
        <w:rPr>
          <w:rStyle w:val="1015"/>
          <w:rFonts w:hint="eastAsia" w:ascii="宋体" w:hAnsi="宋体" w:eastAsia="宋体" w:cs="宋体"/>
          <w:b/>
          <w:bCs/>
          <w:color w:val="auto"/>
          <w:sz w:val="24"/>
          <w:szCs w:val="24"/>
          <w:highlight w:val="none"/>
          <w:lang w:eastAsia="zh-CN"/>
        </w:rPr>
        <w:outlineLvl w:val="0"/>
      </w:pPr>
      <w:r>
        <w:rPr>
          <w:rFonts w:hint="eastAsia" w:ascii="宋体" w:hAnsi="宋体" w:cs="宋体"/>
          <w:b/>
          <w:color w:val="auto"/>
          <w:sz w:val="24"/>
          <w:szCs w:val="24"/>
          <w:lang w:val="en-US" w:eastAsia="zh-CN"/>
        </w:rPr>
        <w:t xml:space="preserve">四</w:t>
      </w:r>
      <w:r>
        <w:rPr>
          <w:rFonts w:hint="eastAsia" w:ascii="宋体" w:hAnsi="宋体" w:eastAsia="宋体" w:cs="宋体"/>
          <w:b/>
          <w:color w:val="auto"/>
          <w:sz w:val="24"/>
          <w:szCs w:val="24"/>
        </w:rPr>
        <w:t xml:space="preserve">、</w:t>
      </w:r>
      <w:r>
        <w:rPr>
          <w:rStyle w:val="1015"/>
          <w:rFonts w:hint="eastAsia" w:ascii="宋体" w:hAnsi="宋体" w:eastAsia="宋体" w:cs="宋体"/>
          <w:b/>
          <w:bCs/>
          <w:color w:val="auto"/>
          <w:sz w:val="24"/>
          <w:szCs w:val="24"/>
          <w:highlight w:val="none"/>
          <w:lang w:eastAsia="zh-CN"/>
        </w:rPr>
        <w:t xml:space="preserve">供货期</w:t>
      </w:r>
      <w:r/>
    </w:p>
    <w:p>
      <w:pPr>
        <w:ind w:firstLine="424"/>
        <w:keepLines w:val="0"/>
        <w:keepNext w:val="0"/>
        <w:pageBreakBefore w:val="0"/>
        <w:spacing w:after="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合同签订之日起</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lang w:val="zh-CN" w:eastAsia="zh-CN"/>
        </w:rPr>
        <w:t xml:space="preserve">日内，完成安装及调试并具备验收条件。</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五</w:t>
      </w:r>
      <w:r>
        <w:rPr>
          <w:rFonts w:hint="eastAsia" w:ascii="宋体" w:hAnsi="宋体" w:eastAsia="宋体" w:cs="宋体"/>
          <w:b/>
          <w:color w:val="auto"/>
          <w:sz w:val="24"/>
          <w:szCs w:val="24"/>
          <w:lang w:val="en-US" w:eastAsia="zh-CN"/>
        </w:rPr>
        <w:t xml:space="preserve">、售后服务和培训要求</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（一）售后服务要求</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1.所投标产品必须是原厂生产的、全新设备（包括零部件），完全符合原厂质量检测标准和国家质量检测标准；按生产厂家产品说明书的规定提供随机资料、配件及软件。</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2.质保及售后服务要求（含安装、调试、培训、维护等）</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（1）主机原厂质保不少于2年，质保期从验收合格之日起计算。</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突发事件的售后服务，从响应到恢复设备功能的总时间原则上不得超过48小时。设备保修期内，厂家服务工程师将提供免费维修或配件更换，保证每年至少两次上门服务保养。保修期外，不收取上门服务费；提供软件终身免费升级服务。</w:t>
      </w:r>
      <w:r/>
    </w:p>
    <w:p>
      <w:pPr>
        <w:ind w:firstLine="480"/>
        <w:jc w:val="left"/>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（2）免费提供培训服务，培训内容包括日常运维操作培训，保证使用方能够正确操作和维护设备，培训时间和地点双方协商确定</w:t>
      </w:r>
      <w:r>
        <w:rPr>
          <w:rFonts w:hint="eastAsia" w:ascii="宋体" w:hAnsi="宋体" w:cs="宋体"/>
          <w:color w:val="auto"/>
          <w:sz w:val="24"/>
          <w:lang w:eastAsia="zh-CN"/>
        </w:rPr>
        <w:t xml:space="preserve">。</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（3）为保证设备正常运行，卖方应设置备件库，存入所有必须的备件，并保证5年以上的供应期，提供全国免费服务电话。</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3.投标人必须保证所投标产品的技术规格（参数、功能等）的准确性。</w:t>
      </w:r>
      <w:r/>
    </w:p>
    <w:p>
      <w:pPr>
        <w:pStyle w:val="807"/>
        <w:numPr>
          <w:ilvl w:val="0"/>
          <w:numId w:val="0"/>
        </w:numPr>
        <w:ind w:right="0" w:firstLine="482"/>
        <w:jc w:val="both"/>
        <w:keepLines/>
        <w:keepNext/>
        <w:pageBreakBefore w:val="0"/>
        <w:spacing w:beforeAutospacing="0" w:afterAutospacing="0" w:line="360" w:lineRule="auto"/>
        <w:widowControl w:val="off"/>
        <w:rPr>
          <w:rStyle w:val="1015"/>
          <w:rFonts w:hint="eastAsia" w:ascii="宋体" w:hAnsi="宋体" w:eastAsia="宋体" w:cs="宋体"/>
          <w:b/>
          <w:bCs/>
          <w:color w:val="auto"/>
          <w:sz w:val="24"/>
          <w:szCs w:val="24"/>
          <w:highlight w:val="none"/>
          <w:lang w:eastAsia="zh-CN"/>
        </w:rPr>
      </w:pPr>
      <w:r>
        <w:rPr>
          <w:rStyle w:val="1015"/>
          <w:rFonts w:hint="eastAsia" w:ascii="宋体" w:hAnsi="宋体" w:eastAsia="宋体" w:cs="宋体"/>
          <w:b/>
          <w:bCs/>
          <w:color w:val="auto"/>
          <w:sz w:val="24"/>
          <w:szCs w:val="24"/>
          <w:highlight w:val="none"/>
          <w:lang w:val="en-US" w:eastAsia="zh-CN"/>
        </w:rPr>
        <w:t xml:space="preserve">2</w:t>
      </w:r>
      <w:r>
        <w:rPr>
          <w:rStyle w:val="1015"/>
          <w:rFonts w:hint="eastAsia" w:ascii="宋体" w:hAnsi="宋体" w:eastAsia="宋体" w:cs="宋体"/>
          <w:b/>
          <w:bCs/>
          <w:color w:val="auto"/>
          <w:sz w:val="24"/>
          <w:szCs w:val="24"/>
          <w:highlight w:val="none"/>
          <w:lang w:eastAsia="zh-CN"/>
        </w:rPr>
        <w:t xml:space="preserve">、技术培训</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（1）供应商在投标文件中应提出详细的培训内容和培训计划。包括培训次数、人员数量、规模及供应商安排的培训人员的相关资历。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（2）中标人须免费负责以上所有产品使用的培训，使采购人在较短的时间，</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能较熟练地掌握产品的操作和简单的排除故障的能力。</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（3）培训计划应至少包括设备的维修保养、故障的处理相关培训等方面的内容。</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（4）培训所产生的一切费用包含在本次投标报价中。</w:t>
      </w:r>
      <w:r/>
    </w:p>
    <w:p>
      <w:pPr>
        <w:ind w:left="0" w:right="0" w:firstLine="482"/>
        <w:pageBreakBefore w:val="0"/>
        <w:spacing w:line="360" w:lineRule="auto"/>
        <w:rPr>
          <w:rFonts w:hint="eastAsia" w:ascii="宋体" w:hAnsi="宋体" w:eastAsia="宋体" w:cs="宋体"/>
          <w:b/>
          <w:color w:val="auto"/>
          <w:sz w:val="24"/>
          <w:szCs w:val="24"/>
          <w:lang w:val="zh-TW" w:eastAsia="zh-TW"/>
        </w:rPr>
        <w:outlineLvl w:val="0"/>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val="zh-TW" w:eastAsia="zh-CN"/>
        </w:rPr>
        <w:t xml:space="preserve">、</w:t>
      </w:r>
      <w:r>
        <w:rPr>
          <w:rFonts w:hint="eastAsia" w:ascii="宋体" w:hAnsi="宋体" w:eastAsia="宋体" w:cs="宋体"/>
          <w:b/>
          <w:color w:val="auto"/>
          <w:sz w:val="24"/>
          <w:szCs w:val="24"/>
          <w:lang w:val="zh-TW" w:eastAsia="zh-TW"/>
        </w:rPr>
        <w:t xml:space="preserve">项目实施要求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1、为保证本项目的顺利实施，投标人应结合各自产品特点，自行设计实施方案。</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货物到达安装现场（采购人指定地点）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中标人所投产品需进行现场安装调试，验收中发现设备达不到验收标准或合同规定的性能指标，中标人必须更换，并且赔偿由此给采购人造成的损失。安装调试工作完成后，中标人应在设备使用地进行不少于一周（5个工作日）的设备及软件使用培训，及时将其发现并掌握的有关设备的操作、故障检测、故障排除方法及一些新的技术发展通知采购人，使采购人能够达到独立操作。</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、供应商在服务期内，解决涉及本项目的全部技术问题。对采购人在项目建设中碰到的其他技术问题，有责任和义务提供咨询和帮助。</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、供应商一旦中标后，不得进行转包</w:t>
      </w:r>
      <w:r>
        <w:rPr>
          <w:rFonts w:hint="eastAsia" w:ascii="宋体" w:hAnsi="宋体" w:eastAsia="宋体" w:cs="宋体"/>
          <w:color w:val="auto"/>
          <w:sz w:val="24"/>
          <w:szCs w:val="24"/>
          <w:highlight w:val="none"/>
          <w:lang w:val="zh-TW" w:eastAsia="zh-TW"/>
        </w:rPr>
        <w:t xml:space="preserve">。</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七</w:t>
      </w:r>
      <w:r>
        <w:rPr>
          <w:rFonts w:hint="eastAsia" w:ascii="宋体" w:hAnsi="宋体" w:eastAsia="宋体" w:cs="宋体"/>
          <w:b/>
          <w:color w:val="auto"/>
          <w:sz w:val="24"/>
          <w:szCs w:val="24"/>
          <w:lang w:val="en-US" w:eastAsia="zh-CN"/>
        </w:rPr>
        <w:t xml:space="preserve">、验收标准及要求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CN"/>
        </w:rPr>
        <w:t xml:space="preserve">验收标准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提供有关货物的操作规程和使用说明书，维护手册、保养修理所需的各种随机工具及相关设计、制造、检验、安装、技术性指导等文件和应由供应商提供的必要文件。</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设备安装完成后，采购人安排专人按照货物技术指标要求和中标人的投标文件中</w:t>
      </w:r>
      <w:r>
        <w:rPr>
          <w:rFonts w:hint="eastAsia" w:ascii="宋体" w:hAnsi="宋体" w:eastAsia="宋体" w:cs="宋体"/>
          <w:color w:val="auto"/>
          <w:sz w:val="24"/>
          <w:szCs w:val="24"/>
          <w:highlight w:val="none"/>
          <w:lang w:val="zh-CN" w:eastAsia="zh-CN"/>
        </w:rPr>
        <w:t xml:space="preserve">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人承担。现场免费安装、调试设备，要求一次达标，质量合格。所提供的产品应根据有关标准包装，应符合运输和装卸条件，以使产品完好无损到达交货地点。中标供应商应对包装和运输不善引起的损失负全部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项目验收程序</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设备送到项目实施现场后，中标人与采购人一</w:t>
      </w:r>
      <w:r>
        <w:rPr>
          <w:rFonts w:hint="eastAsia" w:ascii="宋体" w:hAnsi="宋体" w:eastAsia="宋体" w:cs="宋体"/>
          <w:color w:val="auto"/>
          <w:sz w:val="24"/>
          <w:szCs w:val="24"/>
          <w:highlight w:val="none"/>
          <w:lang w:val="zh-CN"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2"/>
        <w:pageBreakBefore w:val="0"/>
        <w:spacing w:line="360" w:lineRule="auto"/>
        <w:rPr>
          <w:rFonts w:hint="eastAsia" w:ascii="宋体" w:hAnsi="宋体" w:eastAsia="宋体" w:cs="宋体"/>
          <w:bCs/>
          <w:color w:val="auto"/>
          <w:sz w:val="24"/>
          <w:szCs w:val="24"/>
        </w:rPr>
        <w:outlineLvl w:val="0"/>
      </w:pPr>
      <w:r>
        <w:rPr>
          <w:rFonts w:hint="eastAsia" w:ascii="宋体" w:hAnsi="宋体" w:cs="宋体"/>
          <w:b/>
          <w:color w:val="auto"/>
          <w:sz w:val="24"/>
          <w:szCs w:val="24"/>
          <w:lang w:val="en-US" w:eastAsia="zh-CN"/>
        </w:rPr>
        <w:t xml:space="preserve">八</w:t>
      </w:r>
      <w:r>
        <w:rPr>
          <w:rFonts w:hint="eastAsia" w:ascii="宋体" w:hAnsi="宋体" w:eastAsia="宋体" w:cs="宋体"/>
          <w:b/>
          <w:color w:val="auto"/>
          <w:sz w:val="24"/>
          <w:szCs w:val="24"/>
          <w:lang w:val="en-US" w:eastAsia="zh-CN"/>
        </w:rPr>
        <w:t xml:space="preserve">、其他要求：</w:t>
      </w:r>
      <w:r>
        <w:rPr>
          <w:rFonts w:hint="eastAsia" w:ascii="宋体" w:hAnsi="宋体" w:eastAsia="宋体" w:cs="宋体"/>
          <w:b w:val="0"/>
          <w:bCs/>
          <w:color w:val="auto"/>
          <w:sz w:val="24"/>
          <w:szCs w:val="24"/>
          <w:lang w:val="en-US" w:eastAsia="zh-CN"/>
        </w:rPr>
        <w:t xml:space="preserve">见招标文件第五章《拟签订的合同文本》</w:t>
      </w:r>
      <w:r>
        <w:rPr>
          <w:rFonts w:hint="eastAsia" w:ascii="宋体" w:hAnsi="宋体" w:eastAsia="宋体" w:cs="宋体"/>
          <w:bCs/>
          <w:color w:val="auto"/>
          <w:sz w:val="24"/>
          <w:szCs w:val="24"/>
        </w:rPr>
        <w:t xml:space="preserve">。</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807"/>
        <w:rPr>
          <w:rFonts w:ascii="宋体" w:hAnsi="宋体" w:eastAsia="宋体" w:cs="宋体"/>
          <w:color w:val="auto"/>
        </w:rPr>
      </w:pPr>
      <w:r>
        <w:rPr>
          <w:rFonts w:hint="eastAsia" w:ascii="宋体" w:hAnsi="宋体" w:eastAsia="宋体" w:cs="宋体"/>
          <w:color w:val="auto"/>
        </w:rPr>
        <w:t xml:space="preserve">第七章  投标文件相关格式</w:t>
      </w:r>
      <w:bookmarkEnd w:id="16"/>
      <w:r/>
      <w:bookmarkEnd w:id="17"/>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24"/>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8、投标人参加政府采购活动前3年内在经营活动中没有重大违法记录的书面声明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9、预付款保函支付条款模板</w:t>
      </w:r>
      <w:r/>
    </w:p>
    <w:p>
      <w:pPr>
        <w:jc w:val="center"/>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江苏诚创招标代理有限公司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徐州市铜山区棠张镇卫生院口腔CT</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投标人在投标初始有效期内撤回投标，其投标保证金将不退还。</w:t>
      </w:r>
      <w:r/>
    </w:p>
    <w:p>
      <w:pPr>
        <w:ind w:firstLine="560"/>
        <w:spacing w:line="440" w:lineRule="exact"/>
        <w:rPr>
          <w:rFonts w:ascii="宋体" w:hAnsi="宋体" w:cs="宋体"/>
          <w:color w:val="auto"/>
          <w:sz w:val="24"/>
        </w:rPr>
      </w:pPr>
      <w:r>
        <w:rPr>
          <w:rFonts w:hint="eastAsia" w:ascii="宋体" w:hAnsi="宋体" w:cs="宋体"/>
          <w:color w:val="auto"/>
          <w:sz w:val="24"/>
        </w:rPr>
        <w:t xml:space="preserve">6.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7. 投标人同意在授予合同后，按照有关规定支付公证费(如有)。</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 江苏诚创招标代理有限公司有权将我单位本项目的《开标一览表》和《分项价格表》予以公示，公示的方式由江苏诚创招标代理有限公司确定。</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10.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徐州市铜山区棠张镇卫生院口腔CT</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17"/>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lang w:eastAsia="zh-CN"/>
              </w:rPr>
              <w:t xml:space="preserve">徐州市铜山区棠张镇卫生院口腔CT</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rPr>
              <w:t xml:space="preserve">项目内容</w:t>
            </w:r>
            <w:r/>
          </w:p>
        </w:tc>
        <w:tc>
          <w:tcPr>
            <w:tcBorders>
              <w:top w:val="single" w:color="000000" w:sz="2" w:space="0"/>
              <w:left w:val="single" w:color="000000" w:sz="2" w:space="0"/>
              <w:right w:val="single" w:color="000000" w:sz="2" w:space="0"/>
            </w:tcBorders>
            <w:tcW w:w="505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6"/>
        <w:rPr>
          <w:rFonts w:hAnsi="宋体" w:eastAsia="宋体" w:cs="宋体"/>
          <w:color w:val="auto"/>
          <w:sz w:val="24"/>
          <w:szCs w:val="24"/>
        </w:rPr>
      </w:pPr>
      <w:r>
        <w:rPr>
          <w:rFonts w:hAnsi="宋体" w:eastAsia="宋体" w:cs="宋体"/>
          <w:color w:val="auto"/>
          <w:sz w:val="24"/>
          <w:szCs w:val="24"/>
        </w:rPr>
      </w:r>
      <w:r/>
    </w:p>
    <w:p>
      <w:pPr>
        <w:pStyle w:val="821"/>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徐州市铜山区棠张镇卫生院口腔CT</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rPr>
          <w:rFonts w:hint="eastAsia" w:ascii="宋体" w:hAnsi="宋体" w:cs="宋体"/>
          <w:color w:val="auto"/>
          <w:sz w:val="24"/>
        </w:rPr>
        <w:t xml:space="preserve">          货币单位：人民币元</w:t>
      </w:r>
      <w:r/>
    </w:p>
    <w:tbl>
      <w:tblPr>
        <w:tblStyle w:val="817"/>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3.享受政府采购支持政策的残疾人福利性单位的条件以《三部门联合发布关于促进残疾人就业政府采购政策的通知》（财库〔2017〕141号）规定为准。</w:t>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cs="宋体"/>
          <w:b/>
          <w:bCs/>
          <w:color w:val="auto"/>
          <w:sz w:val="24"/>
          <w:u w:val="single"/>
        </w:rPr>
        <w:t xml:space="preserve">江苏诚创招标代理有限公司有权将以上内容进行公示。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徐州市铜山区棠张镇卫生院口腔CT</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p>
    <w:p>
      <w:pPr>
        <w:rPr>
          <w:rFonts w:ascii="宋体" w:hAnsi="宋体" w:cs="宋体"/>
          <w:color w:val="auto"/>
          <w:sz w:val="24"/>
          <w:u w:val="single"/>
        </w:rPr>
      </w:pPr>
      <w:r>
        <w:rPr>
          <w:rFonts w:ascii="宋体" w:hAnsi="宋体" w:cs="宋体"/>
          <w:color w:val="auto"/>
          <w:sz w:val="24"/>
          <w:u w:val="single"/>
        </w:rPr>
      </w:r>
      <w:r/>
    </w:p>
    <w:tbl>
      <w:tblPr>
        <w:tblStyle w:val="817"/>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22"/>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徐州市铜山区棠张镇卫生院口腔CT</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JSZC-320312-CCZB-G2025-0004</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22"/>
        <w:rPr>
          <w:rFonts w:ascii="宋体" w:hAnsi="宋体" w:cs="宋体"/>
          <w:color w:val="auto"/>
        </w:rPr>
      </w:pPr>
      <w:r>
        <w:rPr>
          <w:rFonts w:ascii="宋体" w:hAnsi="宋体" w:cs="宋体"/>
          <w:color w:val="auto"/>
        </w:rPr>
      </w:r>
      <w:r/>
    </w:p>
    <w:p>
      <w:pPr>
        <w:pStyle w:val="839"/>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徐州市铜山区棠张镇卫生院口腔CT</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徐州市铜山区棠张镇卫生院口腔CT</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21"/>
        <w:ind w:left="0"/>
        <w:rPr>
          <w:rFonts w:ascii="宋体" w:hAnsi="宋体" w:cs="宋体"/>
          <w:color w:val="auto"/>
          <w:sz w:val="24"/>
        </w:rPr>
      </w:pPr>
      <w:r>
        <w:rPr>
          <w:rFonts w:ascii="宋体" w:hAnsi="宋体" w:cs="宋体"/>
          <w:color w:val="auto"/>
          <w:sz w:val="24"/>
        </w:rPr>
      </w:r>
      <w:r/>
    </w:p>
    <w:p>
      <w:pPr>
        <w:pStyle w:val="821"/>
        <w:ind w:left="0"/>
        <w:rPr>
          <w:rFonts w:ascii="宋体" w:hAnsi="宋体" w:cs="宋体"/>
          <w:color w:val="auto"/>
          <w:sz w:val="24"/>
          <w:highlight w:val="none"/>
        </w:rPr>
      </w:pPr>
      <w:r>
        <w:rPr>
          <w:rFonts w:hint="eastAsia" w:ascii="宋体" w:hAnsi="宋体" w:cs="宋体"/>
          <w:color w:val="auto"/>
          <w:sz w:val="24"/>
          <w:highlight w:val="none"/>
        </w:rPr>
        <w:t xml:space="preserve">注：本项目采购项目属性为：</w:t>
      </w:r>
      <w:r>
        <w:rPr>
          <w:rFonts w:hint="eastAsia" w:ascii="宋体" w:hAnsi="宋体" w:cs="宋体"/>
          <w:b/>
          <w:bCs/>
          <w:color w:val="auto"/>
          <w:sz w:val="24"/>
          <w:highlight w:val="none"/>
        </w:rPr>
        <w:t xml:space="preserve">工业</w:t>
      </w:r>
      <w:r>
        <w:rPr>
          <w:rFonts w:hint="eastAsia" w:ascii="宋体" w:hAnsi="宋体" w:cs="宋体"/>
          <w:color w:val="auto"/>
          <w:sz w:val="24"/>
          <w:highlight w:val="none"/>
        </w:rPr>
        <w:t xml:space="preserve">。</w:t>
      </w:r>
      <w:r/>
    </w:p>
    <w:p>
      <w:pPr>
        <w:pStyle w:val="821"/>
        <w:ind w:left="0"/>
        <w:rPr>
          <w:rFonts w:ascii="宋体" w:hAnsi="宋体" w:cs="宋体"/>
          <w:color w:val="auto"/>
          <w:sz w:val="24"/>
        </w:rPr>
      </w:pPr>
      <w:r>
        <w:rPr>
          <w:rFonts w:hint="eastAsia" w:ascii="宋体" w:hAnsi="宋体" w:cs="宋体"/>
          <w:color w:val="auto"/>
          <w:sz w:val="24"/>
        </w:rPr>
        <w:t xml:space="preserve">备注：</w:t>
      </w:r>
      <w:r/>
    </w:p>
    <w:p>
      <w:pPr>
        <w:pStyle w:val="821"/>
        <w:ind w:left="0"/>
        <w:rPr>
          <w:rFonts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pStyle w:val="823"/>
        <w:ind w:left="0"/>
        <w:rPr>
          <w:rFonts w:ascii="宋体" w:hAnsi="宋体" w:cs="宋体"/>
          <w:color w:val="auto"/>
          <w:sz w:val="24"/>
        </w:rPr>
      </w:pPr>
      <w:r>
        <w:rPr>
          <w:rFonts w:hint="eastAsia" w:ascii="宋体" w:hAnsi="宋体" w:cs="宋体"/>
          <w:color w:val="auto"/>
          <w:sz w:val="24"/>
        </w:rPr>
        <w:t xml:space="preserve">2、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3"/>
        <w:ind w:left="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823"/>
        <w:ind w:left="0"/>
        <w:rPr>
          <w:rFonts w:ascii="宋体" w:hAnsi="宋体" w:cs="宋体"/>
          <w:color w:val="auto"/>
          <w:sz w:val="24"/>
        </w:rPr>
      </w:pPr>
      <w:r>
        <w:rPr>
          <w:rFonts w:hint="eastAsia" w:ascii="宋体" w:hAnsi="宋体" w:cs="宋体"/>
          <w:color w:val="auto"/>
          <w:sz w:val="24"/>
        </w:rPr>
        <w:t xml:space="preserve">4、供应商提供的《中小企业声明函》与事实不符的，依照《政府采购法》第七十七条第一款的规定追究法律责任。</w:t>
      </w:r>
      <w:r/>
    </w:p>
    <w:p>
      <w:pPr>
        <w:pStyle w:val="823"/>
        <w:ind w:left="0"/>
        <w:jc w:val="left"/>
        <w:rPr>
          <w:rFonts w:ascii="宋体" w:hAnsi="宋体" w:cs="宋体"/>
          <w:color w:val="auto"/>
          <w:sz w:val="24"/>
        </w:rPr>
      </w:pPr>
      <w:r>
        <w:rPr>
          <w:rFonts w:hint="eastAsia" w:ascii="宋体" w:hAnsi="宋体" w:cs="宋体"/>
          <w:color w:val="auto"/>
          <w:sz w:val="24"/>
        </w:rPr>
        <w:t xml:space="preserve">5、“中小企业声明函”查询渠道用微信搜索“中小企业规模类型自测小程序”。</w:t>
      </w:r>
      <w:r/>
    </w:p>
    <w:p>
      <w:pPr>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    </w:t>
      </w:r>
      <w:r>
        <w:rPr>
          <w:rFonts w:hint="eastAsia" w:ascii="宋体" w:hAnsi="宋体" w:cs="宋体"/>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徐州市铜山区棠张镇卫生院口腔CT</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JSZC-320312-CCZB-G2025-0004</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徐州市铜山区棠张镇卫生院口腔CT</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8、投标人参加政府采购活动前3年内在经营活动中没有重大违法记录的书面声明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徐州市铜山区棠张镇卫生院口腔CT</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JSZC-320312-CCZB-G2025-0004</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41"/>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3"/>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22"/>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16"/>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rPr>
        <w:t xml:space="preserve">9、</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bookmarkEnd w:id="18"/>
      <w:r/>
      <w:r/>
    </w:p>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mbria">
    <w:panose1 w:val="020405030504060302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08"/>
    <w:uiPriority w:val="0"/>
    <w:qFormat/>
    <w:pPr>
      <w:jc w:val="both"/>
      <w:widowControl w:val="off"/>
    </w:pPr>
    <w:rPr>
      <w:rFonts w:hint="default" w:ascii="Calibri" w:hAnsi="Calibri" w:eastAsia="宋体" w:cs="Times New Roman"/>
      <w:sz w:val="21"/>
      <w:szCs w:val="24"/>
      <w:lang w:val="en-US" w:eastAsia="zh-CN" w:bidi="ar-SA"/>
    </w:rPr>
  </w:style>
  <w:style w:type="paragraph" w:styleId="807">
    <w:name w:val="Heading 1"/>
    <w:basedOn w:val="806"/>
    <w:next w:val="808"/>
    <w:uiPriority w:val="9"/>
    <w:qFormat/>
    <w:pPr>
      <w:jc w:val="center"/>
      <w:keepLines/>
      <w:keepNext/>
      <w:spacing w:line="578" w:lineRule="auto"/>
      <w:outlineLvl w:val="0"/>
    </w:pPr>
    <w:rPr>
      <w:rFonts w:eastAsia="新宋体"/>
      <w:b/>
      <w:bCs/>
      <w:sz w:val="30"/>
      <w:szCs w:val="44"/>
    </w:rPr>
  </w:style>
  <w:style w:type="paragraph" w:styleId="808">
    <w:name w:val="Heading 2"/>
    <w:basedOn w:val="806"/>
    <w:next w:val="806"/>
    <w:link w:val="850"/>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51"/>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52"/>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3"/>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4"/>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57"/>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0"/>
    <w:semiHidden/>
    <w:qFormat/>
  </w:style>
  <w:style w:type="table" w:styleId="817" w:default="1">
    <w:name w:val="Normal Table"/>
    <w:uiPriority w:val="0"/>
    <w:semiHidden/>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right="0" w:firstLine="0"/>
      <w:spacing w:after="57"/>
    </w:pPr>
  </w:style>
  <w:style w:type="paragraph" w:styleId="819">
    <w:name w:val="Normal Indent"/>
    <w:basedOn w:val="806"/>
    <w:next w:val="806"/>
    <w:uiPriority w:val="0"/>
    <w:qFormat/>
    <w:pPr>
      <w:ind w:firstLine="420"/>
    </w:pPr>
  </w:style>
  <w:style w:type="paragraph" w:styleId="820">
    <w:name w:val="Caption"/>
    <w:basedOn w:val="806"/>
    <w:next w:val="8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1">
    <w:name w:val="index 5"/>
    <w:basedOn w:val="806"/>
    <w:next w:val="806"/>
    <w:uiPriority w:val="0"/>
    <w:qFormat/>
    <w:pPr>
      <w:ind w:left="798"/>
      <w:jc w:val="left"/>
    </w:pPr>
  </w:style>
  <w:style w:type="paragraph" w:styleId="822">
    <w:name w:val="Body Text"/>
    <w:basedOn w:val="806"/>
    <w:next w:val="806"/>
    <w:uiPriority w:val="0"/>
    <w:qFormat/>
    <w:pPr>
      <w:spacing w:after="120"/>
    </w:pPr>
  </w:style>
  <w:style w:type="paragraph" w:styleId="823">
    <w:name w:val="Body Text Indent"/>
    <w:basedOn w:val="806"/>
    <w:uiPriority w:val="99"/>
    <w:qFormat/>
    <w:pPr>
      <w:ind w:left="420"/>
      <w:spacing w:after="120"/>
    </w:pPr>
  </w:style>
  <w:style w:type="paragraph" w:styleId="824">
    <w:name w:val="Block Text"/>
    <w:basedOn w:val="806"/>
    <w:uiPriority w:val="0"/>
    <w:qFormat/>
    <w:pPr>
      <w:ind w:left="420" w:right="33"/>
      <w:jc w:val="left"/>
    </w:pPr>
    <w:rPr>
      <w:sz w:val="24"/>
      <w:szCs w:val="20"/>
    </w:rPr>
  </w:style>
  <w:style w:type="paragraph" w:styleId="825">
    <w:name w:val="toc 5"/>
    <w:basedOn w:val="806"/>
    <w:next w:val="806"/>
    <w:uiPriority w:val="39"/>
    <w:unhideWhenUsed/>
    <w:qFormat/>
    <w:pPr>
      <w:ind w:left="1134" w:right="0" w:firstLine="0"/>
      <w:spacing w:after="57"/>
    </w:pPr>
  </w:style>
  <w:style w:type="paragraph" w:styleId="826">
    <w:name w:val="toc 3"/>
    <w:basedOn w:val="806"/>
    <w:next w:val="806"/>
    <w:uiPriority w:val="39"/>
    <w:unhideWhenUsed/>
    <w:qFormat/>
    <w:pPr>
      <w:ind w:left="567" w:right="0" w:firstLine="0"/>
      <w:spacing w:after="57"/>
    </w:pPr>
  </w:style>
  <w:style w:type="paragraph" w:styleId="827">
    <w:name w:val="toc 8"/>
    <w:basedOn w:val="806"/>
    <w:next w:val="806"/>
    <w:uiPriority w:val="39"/>
    <w:unhideWhenUsed/>
    <w:qFormat/>
    <w:pPr>
      <w:ind w:left="1984" w:right="0" w:firstLine="0"/>
      <w:spacing w:after="57"/>
    </w:pPr>
  </w:style>
  <w:style w:type="paragraph" w:styleId="828">
    <w:name w:val="Date"/>
    <w:basedOn w:val="806"/>
    <w:next w:val="806"/>
    <w:uiPriority w:val="99"/>
    <w:qFormat/>
    <w:rPr>
      <w:rFonts w:eastAsia="仿宋_GB2312"/>
      <w:sz w:val="28"/>
      <w:szCs w:val="20"/>
    </w:rPr>
  </w:style>
  <w:style w:type="paragraph" w:styleId="829">
    <w:name w:val="endnote text"/>
    <w:basedOn w:val="806"/>
    <w:link w:val="994"/>
    <w:uiPriority w:val="99"/>
    <w:semiHidden/>
    <w:unhideWhenUsed/>
    <w:qFormat/>
    <w:pPr>
      <w:spacing w:after="0" w:line="240" w:lineRule="auto"/>
    </w:pPr>
    <w:rPr>
      <w:sz w:val="20"/>
    </w:rPr>
  </w:style>
  <w:style w:type="paragraph" w:styleId="830">
    <w:name w:val="Footer"/>
    <w:basedOn w:val="806"/>
    <w:uiPriority w:val="99"/>
    <w:qFormat/>
    <w:pPr>
      <w:jc w:val="left"/>
      <w:tabs>
        <w:tab w:val="center" w:pos="4153" w:leader="none"/>
        <w:tab w:val="right" w:pos="8306" w:leader="none"/>
      </w:tabs>
    </w:pPr>
    <w:rPr>
      <w:sz w:val="18"/>
      <w:szCs w:val="18"/>
    </w:rPr>
  </w:style>
  <w:style w:type="paragraph" w:styleId="831">
    <w:name w:val="envelope return"/>
    <w:basedOn w:val="806"/>
    <w:uiPriority w:val="0"/>
    <w:qFormat/>
    <w:rPr>
      <w:rFonts w:ascii="Arial" w:hAnsi="Arial"/>
    </w:rPr>
  </w:style>
  <w:style w:type="paragraph" w:styleId="832">
    <w:name w:val="Header"/>
    <w:basedOn w:val="806"/>
    <w:uiPriority w:val="99"/>
    <w:qFormat/>
    <w:pPr>
      <w:jc w:val="center"/>
      <w:tabs>
        <w:tab w:val="center" w:pos="4153" w:leader="none"/>
        <w:tab w:val="right" w:pos="8306" w:leader="none"/>
      </w:tabs>
      <w:pBdr>
        <w:bottom w:val="single" w:color="auto" w:sz="6" w:space="1"/>
      </w:pBdr>
    </w:pPr>
    <w:rPr>
      <w:sz w:val="18"/>
      <w:szCs w:val="18"/>
    </w:rPr>
  </w:style>
  <w:style w:type="paragraph" w:styleId="833">
    <w:name w:val="toc 1"/>
    <w:basedOn w:val="806"/>
    <w:next w:val="806"/>
    <w:uiPriority w:val="39"/>
    <w:qFormat/>
  </w:style>
  <w:style w:type="paragraph" w:styleId="834">
    <w:name w:val="toc 4"/>
    <w:basedOn w:val="806"/>
    <w:next w:val="806"/>
    <w:uiPriority w:val="39"/>
    <w:unhideWhenUsed/>
    <w:qFormat/>
    <w:pPr>
      <w:ind w:left="850" w:right="0" w:firstLine="0"/>
      <w:spacing w:after="57"/>
    </w:pPr>
  </w:style>
  <w:style w:type="paragraph" w:styleId="835">
    <w:name w:val="Subtitle"/>
    <w:basedOn w:val="806"/>
    <w:next w:val="806"/>
    <w:link w:val="860"/>
    <w:uiPriority w:val="11"/>
    <w:qFormat/>
    <w:pPr>
      <w:spacing w:before="200" w:after="200"/>
    </w:pPr>
    <w:rPr>
      <w:sz w:val="24"/>
      <w:szCs w:val="24"/>
    </w:rPr>
  </w:style>
  <w:style w:type="paragraph" w:styleId="836">
    <w:name w:val="footnote text"/>
    <w:basedOn w:val="806"/>
    <w:next w:val="821"/>
    <w:uiPriority w:val="0"/>
    <w:qFormat/>
    <w:pPr>
      <w:jc w:val="left"/>
    </w:pPr>
    <w:rPr>
      <w:rFonts w:ascii="宋体" w:eastAsia="Times New Roman"/>
      <w:sz w:val="18"/>
      <w:szCs w:val="18"/>
    </w:rPr>
  </w:style>
  <w:style w:type="paragraph" w:styleId="837">
    <w:name w:val="toc 6"/>
    <w:basedOn w:val="806"/>
    <w:next w:val="806"/>
    <w:uiPriority w:val="39"/>
    <w:unhideWhenUsed/>
    <w:qFormat/>
    <w:pPr>
      <w:ind w:left="1417" w:right="0" w:firstLine="0"/>
      <w:spacing w:after="57"/>
    </w:pPr>
  </w:style>
  <w:style w:type="paragraph" w:styleId="838">
    <w:name w:val="table of figures"/>
    <w:basedOn w:val="806"/>
    <w:next w:val="806"/>
    <w:uiPriority w:val="99"/>
    <w:unhideWhenUsed/>
    <w:qFormat/>
    <w:pPr>
      <w:spacing w:after="0" w:afterAutospacing="0"/>
    </w:pPr>
  </w:style>
  <w:style w:type="paragraph" w:styleId="839">
    <w:name w:val="toc 2"/>
    <w:basedOn w:val="806"/>
    <w:next w:val="806"/>
    <w:uiPriority w:val="39"/>
    <w:unhideWhenUsed/>
    <w:qFormat/>
    <w:pPr>
      <w:ind w:left="283"/>
      <w:spacing w:after="57"/>
    </w:pPr>
  </w:style>
  <w:style w:type="paragraph" w:styleId="840">
    <w:name w:val="toc 9"/>
    <w:basedOn w:val="806"/>
    <w:next w:val="806"/>
    <w:uiPriority w:val="39"/>
    <w:unhideWhenUsed/>
    <w:qFormat/>
    <w:pPr>
      <w:ind w:left="2268" w:right="0" w:firstLine="0"/>
      <w:spacing w:after="57"/>
    </w:pPr>
  </w:style>
  <w:style w:type="paragraph" w:styleId="841">
    <w:name w:val="Normal (Web)"/>
    <w:basedOn w:val="806"/>
    <w:uiPriority w:val="99"/>
    <w:qFormat/>
    <w:pPr>
      <w:jc w:val="left"/>
      <w:spacing w:before="100" w:beforeAutospacing="1" w:after="100" w:afterAutospacing="1"/>
      <w:widowControl/>
    </w:pPr>
    <w:rPr>
      <w:rFonts w:ascii="宋体" w:hAnsi="宋体" w:cs="宋体"/>
      <w:sz w:val="24"/>
    </w:rPr>
  </w:style>
  <w:style w:type="paragraph" w:styleId="842">
    <w:name w:val="Title"/>
    <w:basedOn w:val="806"/>
    <w:next w:val="806"/>
    <w:link w:val="859"/>
    <w:uiPriority w:val="10"/>
    <w:qFormat/>
    <w:pPr>
      <w:contextualSpacing/>
      <w:spacing w:before="300" w:after="200"/>
    </w:pPr>
    <w:rPr>
      <w:sz w:val="48"/>
      <w:szCs w:val="48"/>
    </w:rPr>
  </w:style>
  <w:style w:type="paragraph" w:styleId="843">
    <w:name w:val="Body Text First Indent 2"/>
    <w:basedOn w:val="823"/>
    <w:next w:val="806"/>
    <w:uiPriority w:val="0"/>
    <w:qFormat/>
    <w:pPr>
      <w:ind w:firstLine="420"/>
    </w:pPr>
    <w:rPr>
      <w:rFonts w:ascii="Times New Roman" w:hAnsi="Times New Roman"/>
    </w:rPr>
  </w:style>
  <w:style w:type="table" w:styleId="844">
    <w:name w:val="Table Grid"/>
    <w:basedOn w:val="81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endnote reference"/>
    <w:basedOn w:val="816"/>
    <w:uiPriority w:val="99"/>
    <w:semiHidden/>
    <w:unhideWhenUsed/>
    <w:qFormat/>
    <w:rPr>
      <w:vertAlign w:val="superscript"/>
    </w:rPr>
  </w:style>
  <w:style w:type="character" w:styleId="846">
    <w:name w:val="page number"/>
    <w:uiPriority w:val="0"/>
    <w:qFormat/>
  </w:style>
  <w:style w:type="character" w:styleId="847">
    <w:name w:val="Hyperlink"/>
    <w:uiPriority w:val="99"/>
    <w:unhideWhenUsed/>
    <w:qFormat/>
    <w:rPr>
      <w:color w:val="0026e5" w:themeColor="hyperlink"/>
      <w:u w:val="single"/>
      <w14:textFill>
        <w14:solidFill>
          <w14:schemeClr w14:val="hlink"/>
        </w14:solidFill>
      </w14:textFill>
    </w:rPr>
  </w:style>
  <w:style w:type="character" w:styleId="848">
    <w:name w:val="footnote reference"/>
    <w:basedOn w:val="816"/>
    <w:uiPriority w:val="99"/>
    <w:unhideWhenUsed/>
    <w:qFormat/>
    <w:rPr>
      <w:vertAlign w:val="superscript"/>
    </w:rPr>
  </w:style>
  <w:style w:type="character" w:styleId="849" w:customStyle="1">
    <w:name w:val="Heading 1 Char"/>
    <w:basedOn w:val="816"/>
    <w:uiPriority w:val="9"/>
    <w:qFormat/>
    <w:rPr>
      <w:rFonts w:ascii="Arial" w:hAnsi="Arial" w:eastAsia="Arial" w:cs="Arial"/>
      <w:sz w:val="40"/>
      <w:szCs w:val="40"/>
    </w:rPr>
  </w:style>
  <w:style w:type="character" w:styleId="850" w:customStyle="1">
    <w:name w:val="Heading 2 Char"/>
    <w:basedOn w:val="816"/>
    <w:link w:val="808"/>
    <w:uiPriority w:val="9"/>
    <w:qFormat/>
    <w:rPr>
      <w:rFonts w:ascii="Arial" w:hAnsi="Arial" w:eastAsia="Arial" w:cs="Arial"/>
      <w:sz w:val="34"/>
    </w:rPr>
  </w:style>
  <w:style w:type="character" w:styleId="851" w:customStyle="1">
    <w:name w:val="Heading 3 Char"/>
    <w:basedOn w:val="816"/>
    <w:link w:val="809"/>
    <w:uiPriority w:val="9"/>
    <w:qFormat/>
    <w:rPr>
      <w:rFonts w:ascii="Arial" w:hAnsi="Arial" w:eastAsia="Arial" w:cs="Arial"/>
      <w:sz w:val="30"/>
      <w:szCs w:val="30"/>
    </w:rPr>
  </w:style>
  <w:style w:type="character" w:styleId="852" w:customStyle="1">
    <w:name w:val="Heading 4 Char"/>
    <w:basedOn w:val="816"/>
    <w:link w:val="810"/>
    <w:uiPriority w:val="9"/>
    <w:qFormat/>
    <w:rPr>
      <w:rFonts w:ascii="Arial" w:hAnsi="Arial" w:eastAsia="Arial" w:cs="Arial"/>
      <w:b/>
      <w:bCs/>
      <w:sz w:val="26"/>
      <w:szCs w:val="26"/>
    </w:rPr>
  </w:style>
  <w:style w:type="character" w:styleId="853" w:customStyle="1">
    <w:name w:val="Heading 5 Char"/>
    <w:basedOn w:val="816"/>
    <w:link w:val="811"/>
    <w:uiPriority w:val="9"/>
    <w:qFormat/>
    <w:rPr>
      <w:rFonts w:ascii="Arial" w:hAnsi="Arial" w:eastAsia="Arial" w:cs="Arial"/>
      <w:b/>
      <w:bCs/>
      <w:sz w:val="24"/>
      <w:szCs w:val="24"/>
    </w:rPr>
  </w:style>
  <w:style w:type="character" w:styleId="854" w:customStyle="1">
    <w:name w:val="Heading 6 Char"/>
    <w:basedOn w:val="816"/>
    <w:link w:val="812"/>
    <w:uiPriority w:val="9"/>
    <w:qFormat/>
    <w:rPr>
      <w:rFonts w:ascii="Arial" w:hAnsi="Arial" w:eastAsia="Arial" w:cs="Arial"/>
      <w:b/>
      <w:bCs/>
      <w:sz w:val="22"/>
      <w:szCs w:val="22"/>
    </w:rPr>
  </w:style>
  <w:style w:type="character" w:styleId="855" w:customStyle="1">
    <w:name w:val="Heading 7 Char"/>
    <w:basedOn w:val="816"/>
    <w:link w:val="813"/>
    <w:uiPriority w:val="9"/>
    <w:qFormat/>
    <w:rPr>
      <w:rFonts w:ascii="Arial" w:hAnsi="Arial" w:eastAsia="Arial" w:cs="Arial"/>
      <w:b/>
      <w:bCs/>
      <w:i/>
      <w:iCs/>
      <w:sz w:val="22"/>
      <w:szCs w:val="22"/>
    </w:rPr>
  </w:style>
  <w:style w:type="character" w:styleId="856" w:customStyle="1">
    <w:name w:val="Heading 8 Char"/>
    <w:basedOn w:val="816"/>
    <w:link w:val="814"/>
    <w:uiPriority w:val="9"/>
    <w:qFormat/>
    <w:rPr>
      <w:rFonts w:ascii="Arial" w:hAnsi="Arial" w:eastAsia="Arial" w:cs="Arial"/>
      <w:i/>
      <w:iCs/>
      <w:sz w:val="22"/>
      <w:szCs w:val="22"/>
    </w:rPr>
  </w:style>
  <w:style w:type="character" w:styleId="857" w:customStyle="1">
    <w:name w:val="Heading 9 Char"/>
    <w:basedOn w:val="816"/>
    <w:link w:val="815"/>
    <w:uiPriority w:val="9"/>
    <w:qFormat/>
    <w:rPr>
      <w:rFonts w:ascii="Arial" w:hAnsi="Arial" w:eastAsia="Arial" w:cs="Arial"/>
      <w:i/>
      <w:iCs/>
      <w:sz w:val="21"/>
      <w:szCs w:val="21"/>
    </w:rPr>
  </w:style>
  <w:style w:type="paragraph" w:styleId="858">
    <w:name w:val="No Spacing"/>
    <w:uiPriority w:val="1"/>
    <w:qFormat/>
    <w:pPr>
      <w:spacing w:before="0" w:after="0" w:line="240" w:lineRule="auto"/>
    </w:pPr>
    <w:rPr>
      <w:rFonts w:hint="default" w:asciiTheme="minorHAnsi" w:hAnsiTheme="minorHAnsi" w:eastAsiaTheme="minorEastAsia" w:cstheme="minorBidi"/>
    </w:rPr>
  </w:style>
  <w:style w:type="character" w:styleId="859" w:customStyle="1">
    <w:name w:val="Title Char"/>
    <w:basedOn w:val="816"/>
    <w:link w:val="842"/>
    <w:uiPriority w:val="10"/>
    <w:qFormat/>
    <w:rPr>
      <w:sz w:val="48"/>
      <w:szCs w:val="48"/>
    </w:rPr>
  </w:style>
  <w:style w:type="character" w:styleId="860" w:customStyle="1">
    <w:name w:val="Subtitle Char"/>
    <w:basedOn w:val="816"/>
    <w:link w:val="835"/>
    <w:uiPriority w:val="11"/>
    <w:qFormat/>
    <w:rPr>
      <w:sz w:val="24"/>
      <w:szCs w:val="24"/>
    </w:rPr>
  </w:style>
  <w:style w:type="paragraph" w:styleId="861">
    <w:name w:val="Quote"/>
    <w:basedOn w:val="806"/>
    <w:next w:val="806"/>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806"/>
    <w:next w:val="806"/>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basedOn w:val="816"/>
    <w:uiPriority w:val="99"/>
    <w:qFormat/>
  </w:style>
  <w:style w:type="character" w:styleId="866" w:customStyle="1">
    <w:name w:val="Footer Char"/>
    <w:basedOn w:val="816"/>
    <w:uiPriority w:val="99"/>
    <w:qFormat/>
  </w:style>
  <w:style w:type="character" w:styleId="867" w:customStyle="1">
    <w:name w:val="Caption Char"/>
    <w:uiPriority w:val="99"/>
    <w:qFormat/>
  </w:style>
  <w:style w:type="table" w:styleId="868"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8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8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8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8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8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8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8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8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8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8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8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8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8"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8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8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8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8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8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8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81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7" w:customStyle="1">
    <w:name w:val="Grid Table 4 - Accent 2"/>
    <w:basedOn w:val="81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8" w:customStyle="1">
    <w:name w:val="Grid Table 4 - Accent 3"/>
    <w:basedOn w:val="81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9" w:customStyle="1">
    <w:name w:val="Grid Table 4 - Accent 4"/>
    <w:basedOn w:val="81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0" w:customStyle="1">
    <w:name w:val="Grid Table 4 - Accent 5"/>
    <w:basedOn w:val="81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1" w:customStyle="1">
    <w:name w:val="Grid Table 4 - Accent 6"/>
    <w:basedOn w:val="81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2"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4"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5"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6"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7"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8"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9"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81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8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81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8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81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5" w:customStyle="1">
    <w:name w:val="Grid Table 6 Colorful - Accent 6"/>
    <w:basedOn w:val="81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6"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81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81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81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81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81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81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81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81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81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81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81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81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0"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81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2" w:customStyle="1">
    <w:name w:val="List Table 2 - Accent 2"/>
    <w:basedOn w:val="81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3" w:customStyle="1">
    <w:name w:val="List Table 2 - Accent 3"/>
    <w:basedOn w:val="81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4" w:customStyle="1">
    <w:name w:val="List Table 2 - Accent 4"/>
    <w:basedOn w:val="81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5" w:customStyle="1">
    <w:name w:val="List Table 2 - Accent 5"/>
    <w:basedOn w:val="81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6" w:customStyle="1">
    <w:name w:val="List Table 2 - Accent 6"/>
    <w:basedOn w:val="81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7"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81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9" w:customStyle="1">
    <w:name w:val="List Table 3 - Accent 2"/>
    <w:basedOn w:val="8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81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8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81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81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4"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81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6" w:customStyle="1">
    <w:name w:val="List Table 4 - Accent 2"/>
    <w:basedOn w:val="81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7" w:customStyle="1">
    <w:name w:val="List Table 4 - Accent 3"/>
    <w:basedOn w:val="81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8" w:customStyle="1">
    <w:name w:val="List Table 4 - Accent 4"/>
    <w:basedOn w:val="81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9" w:customStyle="1">
    <w:name w:val="List Table 4 - Accent 5"/>
    <w:basedOn w:val="81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0" w:customStyle="1">
    <w:name w:val="List Table 4 - Accent 6"/>
    <w:basedOn w:val="81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1"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81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81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81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81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81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81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81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0" w:customStyle="1">
    <w:name w:val="List Table 6 Colorful - Accent 2"/>
    <w:basedOn w:val="81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1" w:customStyle="1">
    <w:name w:val="List Table 6 Colorful - Accent 3"/>
    <w:basedOn w:val="81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2" w:customStyle="1">
    <w:name w:val="List Table 6 Colorful - Accent 4"/>
    <w:basedOn w:val="81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3" w:customStyle="1">
    <w:name w:val="List Table 6 Colorful - Accent 5"/>
    <w:basedOn w:val="81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4" w:customStyle="1">
    <w:name w:val="List Table 6 Colorful - Accent 6"/>
    <w:basedOn w:val="81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5"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81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81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81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81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81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81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4"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5"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6"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7"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8"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9"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81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1" w:customStyle="1">
    <w:name w:val="Bordered &amp; Lined - Accent 2"/>
    <w:basedOn w:val="81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2" w:customStyle="1">
    <w:name w:val="Bordered &amp; Lined - Accent 3"/>
    <w:basedOn w:val="81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3" w:customStyle="1">
    <w:name w:val="Bordered &amp; Lined - Accent 4"/>
    <w:basedOn w:val="81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4" w:customStyle="1">
    <w:name w:val="Bordered &amp; Lined - Accent 5"/>
    <w:basedOn w:val="81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5" w:customStyle="1">
    <w:name w:val="Bordered &amp; Lined - Accent 6"/>
    <w:basedOn w:val="81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6"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8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8" w:customStyle="1">
    <w:name w:val="Bordered - Accent 2"/>
    <w:basedOn w:val="8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9" w:customStyle="1">
    <w:name w:val="Bordered - Accent 3"/>
    <w:basedOn w:val="8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0" w:customStyle="1">
    <w:name w:val="Bordered - Accent 4"/>
    <w:basedOn w:val="8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1" w:customStyle="1">
    <w:name w:val="Bordered - Accent 5"/>
    <w:basedOn w:val="8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2" w:customStyle="1">
    <w:name w:val="Bordered - Accent 6"/>
    <w:basedOn w:val="8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3" w:customStyle="1">
    <w:name w:val="Footnote Text Char"/>
    <w:uiPriority w:val="99"/>
    <w:qFormat/>
    <w:rPr>
      <w:sz w:val="18"/>
    </w:rPr>
  </w:style>
  <w:style w:type="character" w:styleId="994" w:customStyle="1">
    <w:name w:val="Endnote Text Char"/>
    <w:link w:val="829"/>
    <w:uiPriority w:val="99"/>
    <w:qFormat/>
    <w:rPr>
      <w:sz w:val="20"/>
    </w:rPr>
  </w:style>
  <w:style w:type="paragraph" w:styleId="995" w:customStyle="1">
    <w:name w:val="TOC Heading"/>
    <w:uiPriority w:val="39"/>
    <w:unhideWhenUsed/>
    <w:qFormat/>
    <w:rPr>
      <w:rFonts w:hint="default" w:asciiTheme="minorHAnsi" w:hAnsiTheme="minorHAnsi" w:eastAsiaTheme="minorEastAsia" w:cstheme="minorBidi"/>
    </w:rPr>
  </w:style>
  <w:style w:type="paragraph" w:styleId="996" w:customStyle="1">
    <w:name w:val="脚注文本1"/>
    <w:basedOn w:val="997"/>
    <w:next w:val="1002"/>
    <w:uiPriority w:val="0"/>
    <w:qFormat/>
    <w:rPr>
      <w:rFonts w:eastAsia="Times New Roman"/>
      <w:sz w:val="18"/>
      <w:szCs w:val="18"/>
    </w:rPr>
  </w:style>
  <w:style w:type="paragraph" w:styleId="997" w:customStyle="1">
    <w:name w:val="正文1"/>
    <w:basedOn w:val="998"/>
    <w:next w:val="999"/>
    <w:uiPriority w:val="0"/>
    <w:qFormat/>
    <w:pPr>
      <w:jc w:val="left"/>
      <w:spacing w:line="360" w:lineRule="atLeast"/>
    </w:pPr>
    <w:rPr>
      <w:rFonts w:ascii="宋体" w:hAnsiTheme="minorHAnsi" w:eastAsiaTheme="minorEastAsia" w:cstheme="minorBidi"/>
      <w:sz w:val="24"/>
      <w:szCs w:val="20"/>
    </w:rPr>
  </w:style>
  <w:style w:type="paragraph" w:styleId="998" w:customStyle="1">
    <w:name w:val="正文111"/>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正文文本1"/>
    <w:basedOn w:val="1000"/>
    <w:next w:val="998"/>
    <w:uiPriority w:val="0"/>
    <w:qFormat/>
    <w:pPr>
      <w:spacing w:after="120"/>
    </w:pPr>
    <w:rPr>
      <w:rFonts w:ascii="Calibri" w:hAnsi="Calibri"/>
    </w:rPr>
  </w:style>
  <w:style w:type="paragraph" w:styleId="1000" w:customStyle="1">
    <w:name w:val="正文11"/>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文本 21"/>
    <w:basedOn w:val="998"/>
    <w:uiPriority w:val="0"/>
    <w:qFormat/>
    <w:pPr>
      <w:jc w:val="center"/>
      <w:widowControl/>
    </w:pPr>
    <w:rPr>
      <w:rFonts w:ascii="楷体_GB2312" w:eastAsia="楷体_GB2312"/>
      <w:sz w:val="28"/>
      <w:szCs w:val="28"/>
    </w:rPr>
  </w:style>
  <w:style w:type="paragraph" w:styleId="1002" w:customStyle="1">
    <w:name w:val="索引 51"/>
    <w:basedOn w:val="997"/>
    <w:next w:val="997"/>
    <w:uiPriority w:val="0"/>
    <w:qFormat/>
    <w:pPr>
      <w:ind w:left="798"/>
    </w:pPr>
    <w:rPr>
      <w:rFonts w:ascii="Calibri" w:hAnsi="Calibri"/>
    </w:rPr>
  </w:style>
  <w:style w:type="paragraph" w:styleId="1003" w:customStyle="1">
    <w:name w:val="目录 11"/>
    <w:basedOn w:val="1004"/>
    <w:next w:val="1000"/>
    <w:uiPriority w:val="0"/>
    <w:qFormat/>
  </w:style>
  <w:style w:type="paragraph" w:styleId="1004" w:customStyle="1">
    <w:name w:val="正文12"/>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目录 111"/>
    <w:basedOn w:val="998"/>
    <w:next w:val="1004"/>
    <w:uiPriority w:val="0"/>
    <w:qFormat/>
    <w:pPr>
      <w:jc w:val="left"/>
      <w:spacing w:after="100" w:line="259" w:lineRule="auto"/>
      <w:widowControl/>
    </w:pPr>
    <w:rPr>
      <w:rFonts w:ascii="Calibri" w:hAnsi="Calibri" w:eastAsia="宋体"/>
      <w:sz w:val="22"/>
      <w:szCs w:val="22"/>
    </w:rPr>
  </w:style>
  <w:style w:type="paragraph" w:styleId="1006" w:customStyle="1">
    <w:name w:val="正文文本缩进1"/>
    <w:basedOn w:val="997"/>
    <w:next w:val="1007"/>
    <w:uiPriority w:val="0"/>
    <w:qFormat/>
    <w:pPr>
      <w:ind w:left="420"/>
      <w:spacing w:after="120"/>
    </w:pPr>
    <w:rPr>
      <w:rFonts w:ascii="Calibri" w:hAnsi="Calibri"/>
    </w:rPr>
  </w:style>
  <w:style w:type="paragraph" w:styleId="1007" w:customStyle="1">
    <w:name w:val="寄信人地址1"/>
    <w:basedOn w:val="1000"/>
    <w:uiPriority w:val="0"/>
    <w:qFormat/>
    <w:rPr>
      <w:rFonts w:ascii="Arial" w:hAnsi="Arial"/>
    </w:rPr>
  </w:style>
  <w:style w:type="paragraph" w:styleId="1008" w:customStyle="1">
    <w:name w:val="文本块1"/>
    <w:basedOn w:val="1004"/>
    <w:uiPriority w:val="0"/>
    <w:qFormat/>
    <w:pPr>
      <w:ind w:left="256" w:right="6" w:firstLine="624"/>
    </w:pPr>
    <w:rPr>
      <w:rFonts w:eastAsia="仿宋"/>
      <w:sz w:val="28"/>
    </w:rPr>
  </w:style>
  <w:style w:type="paragraph" w:styleId="1009" w:customStyle="1">
    <w:name w:val="标题 41"/>
    <w:basedOn w:val="997"/>
    <w:next w:val="1000"/>
    <w:uiPriority w:val="0"/>
    <w:qFormat/>
    <w:pPr>
      <w:keepLines/>
      <w:keepNext/>
      <w:spacing w:before="280" w:after="290" w:line="376" w:lineRule="auto"/>
      <w:outlineLvl w:val="3"/>
    </w:pPr>
    <w:rPr>
      <w:rFonts w:ascii="Cambria" w:hAnsi="Cambria"/>
      <w:sz w:val="28"/>
      <w:szCs w:val="28"/>
    </w:rPr>
  </w:style>
  <w:style w:type="paragraph" w:styleId="1010" w:customStyle="1">
    <w:name w:val="标题 11"/>
    <w:basedOn w:val="806"/>
    <w:next w:val="806"/>
    <w:uiPriority w:val="0"/>
    <w:qFormat/>
    <w:pPr>
      <w:jc w:val="center"/>
      <w:keepLines/>
      <w:keepNext/>
      <w:spacing w:line="578" w:lineRule="auto"/>
      <w:outlineLvl w:val="0"/>
    </w:pPr>
    <w:rPr>
      <w:rFonts w:eastAsia="新宋体"/>
      <w:b/>
      <w:bCs/>
      <w:sz w:val="30"/>
      <w:szCs w:val="44"/>
    </w:rPr>
  </w:style>
  <w:style w:type="paragraph" w:styleId="1011" w:customStyle="1">
    <w:name w:val="一级条标题"/>
    <w:basedOn w:val="1012"/>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next w:val="8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段"/>
    <w:basedOn w:val="997"/>
    <w:next w:val="806"/>
    <w:uiPriority w:val="0"/>
    <w:qFormat/>
    <w:pPr>
      <w:ind w:firstLine="200"/>
      <w:widowControl/>
    </w:pPr>
    <w:rPr>
      <w:rFonts w:hint="eastAsia"/>
      <w:sz w:val="20"/>
    </w:rPr>
  </w:style>
  <w:style w:type="paragraph" w:styleId="1014" w:customStyle="1">
    <w:name w:val="正文文本111"/>
    <w:basedOn w:val="1004"/>
    <w:next w:val="1004"/>
    <w:uiPriority w:val="0"/>
    <w:qFormat/>
  </w:style>
  <w:style w:type="character" w:styleId="1015" w:customStyle="1">
    <w:name w:val="标题 2 Char Char"/>
    <w:basedOn w:val="816"/>
    <w:uiPriority w:val="0"/>
    <w:qFormat/>
    <w:rPr>
      <w:rFonts w:ascii="宋体" w:hAnsi="宋体" w:eastAsia="宋体"/>
      <w:b/>
      <w:bCs/>
      <w:iCs/>
      <w:sz w:val="24"/>
      <w:lang w:val="en-US" w:eastAsia="zh-CN" w:bidi="ar-SA"/>
    </w:rPr>
  </w:style>
  <w:style w:type="paragraph" w:styleId="1016">
    <w:name w:val="List Paragraph"/>
    <w:basedOn w:val="806"/>
    <w:uiPriority w:val="99"/>
    <w:qFormat/>
    <w:pPr>
      <w:ind w:firstLine="420"/>
    </w:pPr>
  </w:style>
  <w:style w:type="paragraph" w:styleId="1017" w:customStyle="1">
    <w:name w:val="页脚1"/>
    <w:basedOn w:val="997"/>
    <w:uiPriority w:val="0"/>
    <w:qFormat/>
    <w:pPr>
      <w:tabs>
        <w:tab w:val="center" w:pos="4153" w:leader="none"/>
        <w:tab w:val="right" w:pos="8306" w:leader="none"/>
      </w:tabs>
    </w:pPr>
    <w:rPr>
      <w:sz w:val="18"/>
      <w:szCs w:val="18"/>
    </w:rPr>
  </w:style>
  <w:style w:type="character" w:styleId="1018" w:customStyle="1">
    <w:name w:val="超链接1"/>
    <w:uiPriority w:val="0"/>
    <w:qFormat/>
    <w:rPr>
      <w:rFonts w:hint="default" w:ascii="Times New Roman" w:hAnsi="Times New Roman" w:eastAsia="宋体" w:cs="Times New Roman"/>
      <w:sz w:val="21"/>
      <w:szCs w:val="24"/>
      <w:lang w:val="en-US" w:eastAsia="zh-CN" w:bidi="ar-SA"/>
    </w:rPr>
  </w:style>
  <w:style w:type="paragraph" w:styleId="1019" w:customStyle="1">
    <w:name w:val="普通(网站)1"/>
    <w:basedOn w:val="806"/>
    <w:uiPriority w:val="99"/>
    <w:qFormat/>
    <w:pPr>
      <w:jc w:val="left"/>
      <w:spacing w:before="100" w:beforeAutospacing="1" w:after="100" w:afterAutospacing="1"/>
      <w:widowControl/>
    </w:pPr>
    <w:rPr>
      <w:rFonts w:ascii="宋体" w:hAnsi="宋体" w:cs="宋体"/>
      <w:sz w:val="24"/>
    </w:rPr>
  </w:style>
  <w:style w:type="paragraph" w:styleId="1020" w:customStyle="1">
    <w:name w:val="标题 21"/>
    <w:basedOn w:val="806"/>
    <w:next w:val="806"/>
    <w:uiPriority w:val="0"/>
    <w:qFormat/>
    <w:pPr>
      <w:jc w:val="left"/>
      <w:keepLines/>
      <w:keepNext/>
      <w:spacing w:before="50"/>
      <w:tabs>
        <w:tab w:val="left" w:pos="0" w:leader="none"/>
      </w:tabs>
    </w:pPr>
    <w:rPr>
      <w:rFonts w:ascii="Arial" w:hAnsi="Arial" w:eastAsia="黑体"/>
      <w:sz w:val="32"/>
      <w:szCs w:val="20"/>
    </w:rPr>
  </w:style>
  <w:style w:type="character" w:styleId="1021" w:customStyle="1">
    <w:name w:val="NormalCharacter1"/>
    <w:uiPriority w:val="0"/>
    <w:semiHidden/>
    <w:qFormat/>
    <w:rPr>
      <w:sz w:val="28"/>
      <w:lang w:val="en-US" w:eastAsia="zh-CN" w:bidi="ar-SA"/>
    </w:rPr>
  </w:style>
  <w:style w:type="paragraph" w:styleId="1022" w:customStyle="1">
    <w:name w:val="列出段落1"/>
    <w:basedOn w:val="806"/>
    <w:uiPriority w:val="34"/>
    <w:qFormat/>
    <w:pPr>
      <w:ind w:firstLine="420"/>
    </w:pPr>
    <w:rPr>
      <w:rFonts w:ascii="Calibri" w:hAnsi="Calibri" w:cs="Calibri"/>
      <w:szCs w:val="21"/>
    </w:rPr>
  </w:style>
  <w:style w:type="paragraph" w:styleId="1023" w:customStyle="1">
    <w:name w:val="p0"/>
    <w:basedOn w:val="806"/>
    <w:uiPriority w:val="0"/>
    <w:qFormat/>
    <w:pPr>
      <w:widowControl/>
    </w:pPr>
    <w:rPr>
      <w:rFonts w:hint="eastAsia"/>
    </w:rPr>
  </w:style>
  <w:style w:type="paragraph" w:styleId="1024" w:customStyle="1">
    <w:name w:val="文本块111"/>
    <w:basedOn w:val="806"/>
    <w:next w:val="806"/>
    <w:uiPriority w:val="6"/>
    <w:unhideWhenUsed/>
    <w:qFormat/>
    <w:pPr>
      <w:ind w:left="1440" w:right="1440"/>
      <w:spacing w:after="120"/>
    </w:pPr>
  </w:style>
  <w:style w:type="character" w:styleId="1025" w:customStyle="1">
    <w:name w:val="NormalCharacter"/>
    <w:uiPriority w:val="0"/>
    <w:semiHidden/>
    <w:qFormat/>
    <w:rPr>
      <w:sz w:val="28"/>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13</cp:revision>
  <dcterms:created xsi:type="dcterms:W3CDTF">2023-06-06T07:26:00Z</dcterms:created>
  <dcterms:modified xsi:type="dcterms:W3CDTF">2025-10-11T01:08:44Z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49AE6A34B01846A6A65C22E4028672A2_13</vt:lpwstr>
  </property>
  <property fmtid="{D5CDD505-2E9C-101B-9397-08002B2CF9AE}" pid="4" name="KSOTemplateDocerSaveRecord">
    <vt:lpwstr>eyJoZGlkIjoiOWY4NGY1ZWY1MmM3YWM2YWI0NmRlNzJhNTBjZWE2YWEiLCJ1c2VySWQiOiIyMTE4Nzg4NTgifQ==</vt:lpwstr>
  </property>
</Properties>
</file>